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E51C8" w14:textId="06955152" w:rsidR="006361ED" w:rsidRPr="006361ED" w:rsidRDefault="007560B7" w:rsidP="00601374">
      <w:pPr>
        <w:tabs>
          <w:tab w:val="right" w:pos="9900"/>
        </w:tabs>
        <w:kinsoku w:val="0"/>
        <w:wordWrap/>
        <w:overflowPunct w:val="0"/>
        <w:rPr>
          <w:rFonts w:ascii="Arial" w:hAnsi="Arial" w:cs="Arial"/>
          <w:b/>
          <w:bCs/>
        </w:rPr>
      </w:pPr>
      <w:bookmarkStart w:id="0" w:name="_Hlk506372364"/>
      <w:bookmarkStart w:id="1" w:name="_GoBack"/>
      <w:bookmarkEnd w:id="1"/>
      <w:r w:rsidRPr="00876D6D">
        <w:rPr>
          <w:rFonts w:ascii="Arial" w:hAnsi="Arial" w:cs="Arial"/>
          <w:b/>
          <w:bCs/>
        </w:rPr>
        <w:t xml:space="preserve">3GPP TSG RAN WG1 Meeting </w:t>
      </w:r>
      <w:bookmarkEnd w:id="0"/>
      <w:r w:rsidR="00E96F2C">
        <w:rPr>
          <w:rFonts w:ascii="Arial" w:hAnsi="Arial" w:cs="Arial"/>
          <w:b/>
          <w:bCs/>
        </w:rPr>
        <w:t>#9</w:t>
      </w:r>
      <w:r w:rsidR="00EE5A29">
        <w:rPr>
          <w:rFonts w:ascii="Arial" w:hAnsi="Arial" w:cs="Arial"/>
          <w:b/>
          <w:bCs/>
        </w:rPr>
        <w:t>5</w:t>
      </w:r>
      <w:r w:rsidR="003B0DA8">
        <w:rPr>
          <w:rFonts w:ascii="Arial" w:hAnsi="Arial" w:cs="Arial"/>
          <w:b/>
          <w:bCs/>
        </w:rPr>
        <w:tab/>
        <w:t>R1-18</w:t>
      </w:r>
      <w:r w:rsidR="0075101C">
        <w:rPr>
          <w:rFonts w:ascii="Arial" w:hAnsi="Arial" w:cs="Arial"/>
          <w:b/>
          <w:bCs/>
        </w:rPr>
        <w:t>3410</w:t>
      </w:r>
    </w:p>
    <w:p w14:paraId="59940B45" w14:textId="2DC4F839" w:rsidR="006361ED" w:rsidRPr="006361ED" w:rsidRDefault="00EE5A29" w:rsidP="00601374">
      <w:pPr>
        <w:tabs>
          <w:tab w:val="right" w:pos="9900"/>
        </w:tabs>
        <w:kinsoku w:val="0"/>
        <w:wordWrap/>
        <w:overflowPunct w:val="0"/>
        <w:rPr>
          <w:rFonts w:ascii="Arial" w:hAnsi="Arial" w:cs="Arial"/>
          <w:b/>
          <w:bCs/>
        </w:rPr>
      </w:pPr>
      <w:r>
        <w:rPr>
          <w:rFonts w:ascii="Arial" w:hAnsi="Arial" w:cs="Arial"/>
          <w:b/>
          <w:bCs/>
        </w:rPr>
        <w:t>Spokane, USA</w:t>
      </w:r>
    </w:p>
    <w:p w14:paraId="1F8136F3" w14:textId="6637EDEA" w:rsidR="006361ED" w:rsidRPr="006361ED" w:rsidRDefault="00EE5A29" w:rsidP="00601374">
      <w:pPr>
        <w:tabs>
          <w:tab w:val="right" w:pos="9900"/>
        </w:tabs>
        <w:kinsoku w:val="0"/>
        <w:wordWrap/>
        <w:overflowPunct w:val="0"/>
        <w:rPr>
          <w:rFonts w:ascii="Arial" w:hAnsi="Arial" w:cs="Arial"/>
          <w:b/>
          <w:bCs/>
        </w:rPr>
      </w:pPr>
      <w:r>
        <w:rPr>
          <w:rFonts w:ascii="Arial" w:hAnsi="Arial" w:cs="Arial"/>
          <w:b/>
          <w:bCs/>
        </w:rPr>
        <w:t>Nov</w:t>
      </w:r>
      <w:r w:rsidR="006361ED" w:rsidRPr="006361ED">
        <w:rPr>
          <w:rFonts w:ascii="Arial" w:hAnsi="Arial" w:cs="Arial"/>
          <w:b/>
          <w:bCs/>
        </w:rPr>
        <w:t xml:space="preserve">. </w:t>
      </w:r>
      <w:r>
        <w:rPr>
          <w:rFonts w:ascii="Arial" w:hAnsi="Arial" w:cs="Arial"/>
          <w:b/>
          <w:bCs/>
        </w:rPr>
        <w:t>12</w:t>
      </w:r>
      <w:r w:rsidR="006361ED" w:rsidRPr="006361ED">
        <w:rPr>
          <w:rFonts w:ascii="Arial" w:hAnsi="Arial" w:cs="Arial"/>
          <w:b/>
          <w:bCs/>
        </w:rPr>
        <w:t xml:space="preserve"> – </w:t>
      </w:r>
      <w:r>
        <w:rPr>
          <w:rFonts w:ascii="Arial" w:hAnsi="Arial" w:cs="Arial"/>
          <w:b/>
          <w:bCs/>
        </w:rPr>
        <w:t>Nov</w:t>
      </w:r>
      <w:r w:rsidR="006361ED" w:rsidRPr="006361ED">
        <w:rPr>
          <w:rFonts w:ascii="Arial" w:hAnsi="Arial" w:cs="Arial"/>
          <w:b/>
          <w:bCs/>
        </w:rPr>
        <w:t xml:space="preserve">. </w:t>
      </w:r>
      <w:r w:rsidR="003B0DA8">
        <w:rPr>
          <w:rFonts w:ascii="Arial" w:hAnsi="Arial" w:cs="Arial"/>
          <w:b/>
          <w:bCs/>
        </w:rPr>
        <w:t>1</w:t>
      </w:r>
      <w:r>
        <w:rPr>
          <w:rFonts w:ascii="Arial" w:hAnsi="Arial" w:cs="Arial"/>
          <w:b/>
          <w:bCs/>
        </w:rPr>
        <w:t>6</w:t>
      </w:r>
      <w:r w:rsidR="006361ED" w:rsidRPr="006361ED">
        <w:rPr>
          <w:rFonts w:ascii="Arial" w:hAnsi="Arial" w:cs="Arial"/>
          <w:b/>
          <w:bCs/>
        </w:rPr>
        <w:t xml:space="preserve">, 2018  </w:t>
      </w:r>
    </w:p>
    <w:p w14:paraId="2D93957C" w14:textId="601E71BD" w:rsidR="003520EB" w:rsidRPr="000F29F8" w:rsidRDefault="003520EB" w:rsidP="00601374">
      <w:pPr>
        <w:tabs>
          <w:tab w:val="right" w:pos="9360"/>
          <w:tab w:val="right" w:pos="9781"/>
        </w:tabs>
        <w:kinsoku w:val="0"/>
        <w:wordWrap/>
        <w:overflowPunct w:val="0"/>
        <w:ind w:right="-58"/>
        <w:rPr>
          <w:rFonts w:ascii="Arial" w:eastAsia="SimSun" w:hAnsi="Arial" w:cs="Arial"/>
          <w:b/>
          <w:kern w:val="0"/>
          <w:sz w:val="24"/>
          <w:lang w:eastAsia="en-US"/>
        </w:rPr>
      </w:pPr>
    </w:p>
    <w:p w14:paraId="399F8BF5" w14:textId="2633A634" w:rsidR="007560B7" w:rsidRPr="00876D6D" w:rsidRDefault="007560B7" w:rsidP="00601374">
      <w:pPr>
        <w:kinsoku w:val="0"/>
        <w:wordWrap/>
        <w:overflowPunct w:val="0"/>
        <w:adjustRightInd w:val="0"/>
        <w:snapToGrid w:val="0"/>
        <w:rPr>
          <w:rFonts w:ascii="Arial" w:hAnsi="Arial" w:cs="Arial"/>
          <w:b/>
          <w:snapToGrid w:val="0"/>
        </w:rPr>
      </w:pPr>
      <w:r w:rsidRPr="00876D6D">
        <w:rPr>
          <w:rFonts w:ascii="Arial" w:hAnsi="Arial" w:cs="Arial"/>
          <w:b/>
          <w:snapToGrid w:val="0"/>
        </w:rPr>
        <w:t xml:space="preserve">Agenda item: </w:t>
      </w:r>
      <w:r w:rsidR="00335B11" w:rsidRPr="00876D6D">
        <w:rPr>
          <w:rFonts w:ascii="Arial" w:hAnsi="Arial" w:cs="Arial"/>
          <w:b/>
          <w:snapToGrid w:val="0"/>
        </w:rPr>
        <w:t xml:space="preserve">   </w:t>
      </w:r>
      <w:r w:rsidR="003520EB" w:rsidRPr="00876D6D">
        <w:rPr>
          <w:rFonts w:ascii="Arial" w:hAnsi="Arial" w:cs="Arial"/>
          <w:b/>
          <w:snapToGrid w:val="0"/>
        </w:rPr>
        <w:t>7.</w:t>
      </w:r>
      <w:r w:rsidR="00077A56">
        <w:rPr>
          <w:rFonts w:ascii="Arial" w:hAnsi="Arial" w:cs="Arial"/>
          <w:b/>
          <w:snapToGrid w:val="0"/>
        </w:rPr>
        <w:t>2.2</w:t>
      </w:r>
      <w:r w:rsidR="003520EB" w:rsidRPr="00876D6D">
        <w:rPr>
          <w:rFonts w:ascii="Arial" w:hAnsi="Arial" w:cs="Arial"/>
          <w:b/>
          <w:snapToGrid w:val="0"/>
        </w:rPr>
        <w:t>.</w:t>
      </w:r>
      <w:r w:rsidR="00B45132" w:rsidRPr="00876D6D">
        <w:rPr>
          <w:rFonts w:ascii="Arial" w:hAnsi="Arial" w:cs="Arial"/>
          <w:b/>
          <w:snapToGrid w:val="0"/>
        </w:rPr>
        <w:t>2</w:t>
      </w:r>
    </w:p>
    <w:p w14:paraId="38C90A73" w14:textId="77777777" w:rsidR="007560B7" w:rsidRPr="00876D6D" w:rsidRDefault="007560B7" w:rsidP="00601374">
      <w:pPr>
        <w:kinsoku w:val="0"/>
        <w:wordWrap/>
        <w:overflowPunct w:val="0"/>
        <w:adjustRightInd w:val="0"/>
        <w:snapToGrid w:val="0"/>
        <w:rPr>
          <w:rFonts w:ascii="Arial" w:hAnsi="Arial"/>
          <w:b/>
        </w:rPr>
      </w:pPr>
      <w:r w:rsidRPr="00876D6D">
        <w:rPr>
          <w:rFonts w:ascii="Arial" w:hAnsi="Arial" w:cs="Arial"/>
          <w:b/>
          <w:snapToGrid w:val="0"/>
        </w:rPr>
        <w:t>Source:             Qualcomm</w:t>
      </w:r>
      <w:r w:rsidRPr="00876D6D">
        <w:rPr>
          <w:rFonts w:ascii="Arial" w:eastAsia="SimSun" w:hAnsi="Arial" w:cs="Arial" w:hint="eastAsia"/>
          <w:b/>
          <w:snapToGrid w:val="0"/>
          <w:lang w:eastAsia="zh-CN"/>
        </w:rPr>
        <w:t xml:space="preserve"> </w:t>
      </w:r>
      <w:r w:rsidRPr="00876D6D">
        <w:rPr>
          <w:rFonts w:ascii="Arial" w:hAnsi="Arial"/>
          <w:b/>
        </w:rPr>
        <w:t>Incorporated</w:t>
      </w:r>
    </w:p>
    <w:p w14:paraId="7FABE148" w14:textId="06DB71F7" w:rsidR="00335B11" w:rsidRPr="00876D6D" w:rsidRDefault="007560B7" w:rsidP="00601374">
      <w:pPr>
        <w:kinsoku w:val="0"/>
        <w:wordWrap/>
        <w:overflowPunct w:val="0"/>
        <w:ind w:left="1496" w:hangingChars="762" w:hanging="1496"/>
        <w:jc w:val="left"/>
        <w:rPr>
          <w:rFonts w:ascii="Arial" w:hAnsi="Arial" w:cs="Arial"/>
          <w:b/>
          <w:snapToGrid w:val="0"/>
        </w:rPr>
      </w:pPr>
      <w:r w:rsidRPr="00876D6D">
        <w:rPr>
          <w:rFonts w:ascii="Arial" w:hAnsi="Arial" w:cs="Arial"/>
          <w:b/>
          <w:snapToGrid w:val="0"/>
        </w:rPr>
        <w:t xml:space="preserve">Title:                  </w:t>
      </w:r>
      <w:bookmarkStart w:id="2" w:name="_Hlk506208025"/>
      <w:r w:rsidR="003D42DC" w:rsidRPr="00876D6D">
        <w:rPr>
          <w:rFonts w:ascii="Arial" w:hAnsi="Arial" w:cs="Arial"/>
          <w:b/>
          <w:snapToGrid w:val="0"/>
        </w:rPr>
        <w:t>TxOP Frame Structure for NR unlicensed</w:t>
      </w:r>
      <w:bookmarkEnd w:id="2"/>
    </w:p>
    <w:p w14:paraId="62BEAD57" w14:textId="737004AB" w:rsidR="007560B7" w:rsidRPr="00876D6D" w:rsidRDefault="007560B7" w:rsidP="00601374">
      <w:pPr>
        <w:kinsoku w:val="0"/>
        <w:wordWrap/>
        <w:overflowPunct w:val="0"/>
        <w:ind w:left="1496" w:hangingChars="762" w:hanging="1496"/>
        <w:jc w:val="left"/>
        <w:rPr>
          <w:rFonts w:ascii="Arial" w:hAnsi="Arial" w:cs="Arial"/>
          <w:b/>
          <w:snapToGrid w:val="0"/>
        </w:rPr>
      </w:pPr>
      <w:r w:rsidRPr="00876D6D">
        <w:rPr>
          <w:rFonts w:ascii="Arial" w:hAnsi="Arial" w:cs="Arial"/>
          <w:b/>
          <w:snapToGrid w:val="0"/>
        </w:rPr>
        <w:t>Document for:  Discussion</w:t>
      </w:r>
      <w:r w:rsidRPr="00876D6D">
        <w:rPr>
          <w:rFonts w:ascii="Arial" w:eastAsia="SimSun" w:hAnsi="Arial" w:cs="Arial" w:hint="eastAsia"/>
          <w:b/>
          <w:snapToGrid w:val="0"/>
          <w:lang w:eastAsia="zh-CN"/>
        </w:rPr>
        <w:t xml:space="preserve"> and </w:t>
      </w:r>
      <w:r w:rsidRPr="00876D6D">
        <w:rPr>
          <w:rFonts w:ascii="Arial" w:hAnsi="Arial" w:cs="Arial"/>
          <w:b/>
          <w:snapToGrid w:val="0"/>
        </w:rPr>
        <w:t>Decision</w:t>
      </w:r>
    </w:p>
    <w:p w14:paraId="7AB7E55C" w14:textId="77777777" w:rsidR="00E80D0C" w:rsidRPr="00392E7D" w:rsidRDefault="00E80D0C" w:rsidP="00601374">
      <w:pPr>
        <w:pStyle w:val="Heading1"/>
        <w:kinsoku w:val="0"/>
        <w:spacing w:after="0"/>
      </w:pPr>
      <w:r w:rsidRPr="00392E7D">
        <w:t>Introduction</w:t>
      </w:r>
    </w:p>
    <w:p w14:paraId="102F6880" w14:textId="77777777" w:rsidR="006361ED" w:rsidRPr="006361ED" w:rsidRDefault="006361ED" w:rsidP="00601374">
      <w:pPr>
        <w:pStyle w:val="LGTdoc1"/>
        <w:kinsoku w:val="0"/>
        <w:overflowPunct w:val="0"/>
        <w:spacing w:beforeLines="0" w:before="120" w:after="0" w:afterAutospacing="0"/>
        <w:rPr>
          <w:b w:val="0"/>
          <w:sz w:val="20"/>
        </w:rPr>
      </w:pPr>
      <w:r w:rsidRPr="006361ED">
        <w:rPr>
          <w:b w:val="0"/>
          <w:sz w:val="20"/>
        </w:rPr>
        <w:t>In RAN#77 a new SI [1] for NR based access to unlicensed spectrum was approved which was then revised in RAN#80 [2]. The objectives of the SI include the following:</w:t>
      </w:r>
    </w:p>
    <w:p w14:paraId="05C8A9E8" w14:textId="77777777" w:rsidR="006361ED" w:rsidRPr="006361ED" w:rsidRDefault="006361ED" w:rsidP="00601374">
      <w:pPr>
        <w:pStyle w:val="LGTdoc1"/>
        <w:numPr>
          <w:ilvl w:val="0"/>
          <w:numId w:val="29"/>
        </w:numPr>
        <w:kinsoku w:val="0"/>
        <w:overflowPunct w:val="0"/>
        <w:spacing w:beforeLines="0" w:before="120" w:after="0" w:afterAutospacing="0"/>
        <w:rPr>
          <w:b w:val="0"/>
          <w:sz w:val="20"/>
        </w:rPr>
      </w:pPr>
      <w:r w:rsidRPr="006361ED">
        <w:rPr>
          <w:b w:val="0"/>
          <w:sz w:val="20"/>
        </w:rPr>
        <w:t xml:space="preserve">Study NR-based operation in unlicensed spectrum (RAN1, RAN2, RAN4) including </w:t>
      </w:r>
    </w:p>
    <w:p w14:paraId="7E2ACD9E"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Physical channels inheriting the choices of duplex mode, waveform, carrier bandwidth, subcarrier spacing, frame structure, and physical layer design made as part of the NR study and avoiding unnecessary divergence with decisions made in the NR WI</w:t>
      </w:r>
    </w:p>
    <w:p w14:paraId="4B1F2A46"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b w:val="0"/>
          <w:sz w:val="20"/>
        </w:rPr>
        <w:t>Consider unlicensed bands below 7GHz</w:t>
      </w:r>
    </w:p>
    <w:p w14:paraId="05A58D49"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rFonts w:hint="eastAsia"/>
          <w:b w:val="0"/>
          <w:sz w:val="20"/>
        </w:rPr>
        <w:t xml:space="preserve">Consider similar forward compatibility </w:t>
      </w:r>
      <w:r w:rsidRPr="006361ED">
        <w:rPr>
          <w:b w:val="0"/>
          <w:sz w:val="20"/>
        </w:rPr>
        <w:t>principles</w:t>
      </w:r>
      <w:r w:rsidRPr="006361ED">
        <w:rPr>
          <w:rFonts w:hint="eastAsia"/>
          <w:b w:val="0"/>
          <w:sz w:val="20"/>
        </w:rPr>
        <w:t xml:space="preserve"> made in the NR WI</w:t>
      </w:r>
      <w:r w:rsidRPr="006361ED">
        <w:rPr>
          <w:b w:val="0"/>
          <w:sz w:val="20"/>
        </w:rPr>
        <w:t xml:space="preserve"> </w:t>
      </w:r>
    </w:p>
    <w:p w14:paraId="3B29D26E"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Initial access, channel access. Scheduling/HARQ, and mobility including connected/inactive/idle mode operation and radio-link monitoring/failure</w:t>
      </w:r>
    </w:p>
    <w:p w14:paraId="4E7AA68B" w14:textId="77777777" w:rsidR="006361ED" w:rsidRPr="006361ED" w:rsidRDefault="006361ED" w:rsidP="00601374">
      <w:pPr>
        <w:pStyle w:val="LGTdoc1"/>
        <w:numPr>
          <w:ilvl w:val="1"/>
          <w:numId w:val="29"/>
        </w:numPr>
        <w:kinsoku w:val="0"/>
        <w:overflowPunct w:val="0"/>
        <w:spacing w:beforeLines="0" w:before="120" w:after="0" w:afterAutospacing="0"/>
        <w:rPr>
          <w:b w:val="0"/>
          <w:sz w:val="20"/>
        </w:rPr>
      </w:pPr>
      <w:r w:rsidRPr="006361ED">
        <w:rPr>
          <w:b w:val="0"/>
          <w:sz w:val="20"/>
        </w:rPr>
        <w:t xml:space="preserve">Coexistence methods within NR-based and between NR-based operation in unlicensed and LTE-based LAA and with other incumbent RATs in accordance with regulatory requirements in e.g., 5GHz, 6GHz bands </w:t>
      </w:r>
    </w:p>
    <w:p w14:paraId="52540181" w14:textId="77777777" w:rsidR="006361ED" w:rsidRPr="006361ED" w:rsidRDefault="006361ED" w:rsidP="00601374">
      <w:pPr>
        <w:pStyle w:val="LGTdoc1"/>
        <w:numPr>
          <w:ilvl w:val="2"/>
          <w:numId w:val="29"/>
        </w:numPr>
        <w:kinsoku w:val="0"/>
        <w:overflowPunct w:val="0"/>
        <w:spacing w:beforeLines="0" w:before="120" w:after="0" w:afterAutospacing="0"/>
        <w:rPr>
          <w:b w:val="0"/>
          <w:sz w:val="20"/>
        </w:rPr>
      </w:pPr>
      <w:r w:rsidRPr="006361ED">
        <w:rPr>
          <w:b w:val="0"/>
          <w:sz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6C3D4A85" w14:textId="03553ADB" w:rsidR="00830E76" w:rsidRPr="0093482D" w:rsidRDefault="00DA36D5" w:rsidP="00601374">
      <w:pPr>
        <w:pStyle w:val="LGTdoc1"/>
        <w:kinsoku w:val="0"/>
        <w:overflowPunct w:val="0"/>
        <w:spacing w:beforeLines="0" w:before="120" w:after="0" w:afterAutospacing="0"/>
        <w:rPr>
          <w:b w:val="0"/>
          <w:sz w:val="20"/>
        </w:rPr>
      </w:pPr>
      <w:r>
        <w:rPr>
          <w:b w:val="0"/>
          <w:sz w:val="20"/>
        </w:rPr>
        <w:t>T</w:t>
      </w:r>
      <w:r w:rsidR="00830E76">
        <w:rPr>
          <w:b w:val="0"/>
          <w:sz w:val="20"/>
        </w:rPr>
        <w:t>he following w</w:t>
      </w:r>
      <w:r w:rsidR="00EF639A">
        <w:rPr>
          <w:b w:val="0"/>
          <w:sz w:val="20"/>
        </w:rPr>
        <w:t>ere</w:t>
      </w:r>
      <w:r w:rsidR="00830E76">
        <w:rPr>
          <w:b w:val="0"/>
          <w:sz w:val="20"/>
        </w:rPr>
        <w:t xml:space="preserve"> agreed </w:t>
      </w:r>
      <w:r>
        <w:rPr>
          <w:b w:val="0"/>
          <w:sz w:val="20"/>
        </w:rPr>
        <w:t>so far</w:t>
      </w:r>
      <w:r w:rsidR="00A146B4">
        <w:rPr>
          <w:b w:val="0"/>
          <w:sz w:val="20"/>
        </w:rPr>
        <w:t xml:space="preserve"> [5-7]</w:t>
      </w:r>
      <w:r>
        <w:rPr>
          <w:b w:val="0"/>
          <w:sz w:val="20"/>
        </w:rPr>
        <w:t xml:space="preserve"> i</w:t>
      </w:r>
      <w:r w:rsidR="009A044C">
        <w:rPr>
          <w:b w:val="0"/>
          <w:sz w:val="20"/>
        </w:rPr>
        <w:t>n regard to</w:t>
      </w:r>
      <w:r w:rsidR="00830E76">
        <w:rPr>
          <w:b w:val="0"/>
          <w:sz w:val="20"/>
        </w:rPr>
        <w:t xml:space="preserve"> the frame structure and SCS</w:t>
      </w:r>
      <w:r>
        <w:rPr>
          <w:b w:val="0"/>
          <w:sz w:val="20"/>
        </w:rPr>
        <w:t>:</w:t>
      </w:r>
    </w:p>
    <w:p w14:paraId="0660B878"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 xml:space="preserve">NR-U supports both Type-A and Type-B mapping already supported in NR </w:t>
      </w:r>
    </w:p>
    <w:p w14:paraId="479199A7"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Additional starting positions and durations are not precluded</w:t>
      </w:r>
    </w:p>
    <w:p w14:paraId="37C06F24"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For sub-7 GHz, NR-U study the SCSs, 15/30/60KHz</w:t>
      </w:r>
    </w:p>
    <w:p w14:paraId="6C7478E4"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Study performance difference between different SCS</w:t>
      </w:r>
    </w:p>
    <w:p w14:paraId="4B4EA13D"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Study if changes to UL design are needed to meet the PSD and OCB requirements</w:t>
      </w:r>
    </w:p>
    <w:p w14:paraId="228C75E8"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Study if an SS block design/RMSI/OSI with 60KHz SCS is needed </w:t>
      </w:r>
    </w:p>
    <w:p w14:paraId="01940978"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Impact on MIB and SIB1 content </w:t>
      </w:r>
    </w:p>
    <w:p w14:paraId="273BFF50"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Need for use of ECP for 60KHz</w:t>
      </w:r>
    </w:p>
    <w:p w14:paraId="43BE54D0"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RACH design with 60KHz SCS in addition to options currently part of NR</w:t>
      </w:r>
    </w:p>
    <w:p w14:paraId="77C8901B"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 xml:space="preserve">Other considerations are not precluded. </w:t>
      </w:r>
    </w:p>
    <w:p w14:paraId="644D4A8D" w14:textId="77777777" w:rsidR="00830E76" w:rsidRPr="0093482D" w:rsidRDefault="00830E76" w:rsidP="00601374">
      <w:pPr>
        <w:numPr>
          <w:ilvl w:val="1"/>
          <w:numId w:val="27"/>
        </w:numPr>
        <w:kinsoku w:val="0"/>
        <w:wordWrap/>
        <w:overflowPunct w:val="0"/>
        <w:autoSpaceDE/>
        <w:autoSpaceDN/>
        <w:rPr>
          <w:rFonts w:ascii="Times New Roman"/>
        </w:rPr>
      </w:pPr>
      <w:r w:rsidRPr="0093482D">
        <w:rPr>
          <w:rFonts w:ascii="Times New Roman"/>
        </w:rPr>
        <w:t>Impact on support of different BWs with different SCS</w:t>
      </w:r>
    </w:p>
    <w:p w14:paraId="0431EF0C" w14:textId="77777777" w:rsidR="00830E76" w:rsidRPr="0093482D" w:rsidRDefault="00830E76" w:rsidP="00601374">
      <w:pPr>
        <w:numPr>
          <w:ilvl w:val="0"/>
          <w:numId w:val="27"/>
        </w:numPr>
        <w:kinsoku w:val="0"/>
        <w:wordWrap/>
        <w:overflowPunct w:val="0"/>
        <w:autoSpaceDE/>
        <w:autoSpaceDN/>
        <w:rPr>
          <w:rFonts w:ascii="Times New Roman"/>
        </w:rPr>
      </w:pPr>
      <w:r w:rsidRPr="0093482D">
        <w:rPr>
          <w:rFonts w:ascii="Times New Roman"/>
        </w:rPr>
        <w:t>Study supporting more than one switching points within a TxOP</w:t>
      </w:r>
    </w:p>
    <w:p w14:paraId="0818F283" w14:textId="7BB929A4" w:rsidR="00590F5D" w:rsidRPr="00590F5D" w:rsidRDefault="00830E76" w:rsidP="00601374">
      <w:pPr>
        <w:numPr>
          <w:ilvl w:val="1"/>
          <w:numId w:val="27"/>
        </w:numPr>
        <w:kinsoku w:val="0"/>
        <w:wordWrap/>
        <w:overflowPunct w:val="0"/>
        <w:autoSpaceDE/>
        <w:autoSpaceDN/>
        <w:rPr>
          <w:rFonts w:ascii="Times New Roman"/>
        </w:rPr>
      </w:pPr>
      <w:r w:rsidRPr="0093482D">
        <w:rPr>
          <w:rFonts w:ascii="Times New Roman"/>
        </w:rPr>
        <w:t>FFS the LBT requirement for each DL/UL data/control burst in the TxOP</w:t>
      </w:r>
    </w:p>
    <w:p w14:paraId="0946371B" w14:textId="77777777" w:rsidR="00590F5D" w:rsidRPr="00590F5D" w:rsidRDefault="00590F5D" w:rsidP="00601374">
      <w:pPr>
        <w:numPr>
          <w:ilvl w:val="0"/>
          <w:numId w:val="27"/>
        </w:numPr>
        <w:kinsoku w:val="0"/>
        <w:wordWrap/>
        <w:overflowPunct w:val="0"/>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65BCBCAE"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LBT requirements to support single or multiple switching points, include</w:t>
      </w:r>
    </w:p>
    <w:p w14:paraId="149F500E"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less than 16us: no-LBT can be used </w:t>
      </w:r>
    </w:p>
    <w:p w14:paraId="3ECEF1B1"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241AED84"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above 16us but does not exceed 25us: one-shot LBT can be used </w:t>
      </w:r>
    </w:p>
    <w:p w14:paraId="3816AF1B"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59486397"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49218E51" w14:textId="77777777" w:rsidR="00590F5D" w:rsidRPr="00590F5D" w:rsidRDefault="00590F5D"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275D99EF" w14:textId="77777777" w:rsidR="00590F5D" w:rsidRPr="00590F5D" w:rsidRDefault="00590F5D" w:rsidP="00601374">
      <w:pPr>
        <w:numPr>
          <w:ilvl w:val="2"/>
          <w:numId w:val="31"/>
        </w:numPr>
        <w:kinsoku w:val="0"/>
        <w:wordWrap/>
        <w:overflowPunct w:val="0"/>
        <w:autoSpaceDE/>
        <w:autoSpaceDN/>
        <w:rPr>
          <w:rFonts w:ascii="Times New Roman"/>
          <w:lang w:val="en-GB"/>
        </w:rPr>
      </w:pPr>
      <w:r w:rsidRPr="00590F5D">
        <w:rPr>
          <w:rFonts w:ascii="Times New Roman"/>
          <w:lang w:val="en-GB"/>
        </w:rPr>
        <w:lastRenderedPageBreak/>
        <w:t>FFS: For multiple switching points, for the gap from DL transmission to UL transmission exceeds 25us, one-shot LBT is used. Regulations for this option.</w:t>
      </w:r>
    </w:p>
    <w:p w14:paraId="5E3D3188" w14:textId="77777777" w:rsidR="00590F5D" w:rsidRPr="00590F5D" w:rsidRDefault="00590F5D" w:rsidP="00601374">
      <w:pPr>
        <w:numPr>
          <w:ilvl w:val="0"/>
          <w:numId w:val="27"/>
        </w:numPr>
        <w:kinsoku w:val="0"/>
        <w:wordWrap/>
        <w:overflowPunct w:val="0"/>
        <w:autoSpaceDE/>
        <w:autoSpaceDN/>
        <w:rPr>
          <w:rFonts w:ascii="Times New Roman"/>
          <w:lang w:val="en-GB"/>
        </w:rPr>
      </w:pPr>
      <w:r w:rsidRPr="00590F5D">
        <w:rPr>
          <w:rFonts w:ascii="Times New Roman"/>
        </w:rPr>
        <w:t>Study FBE (as in the ETSI BRAN specifications) based frame structure</w:t>
      </w:r>
    </w:p>
    <w:p w14:paraId="6CA21DF9"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Identify the changes needed to support FBE operation of NR-U</w:t>
      </w:r>
    </w:p>
    <w:p w14:paraId="2264C50E" w14:textId="77777777" w:rsidR="00590F5D" w:rsidRPr="00590F5D" w:rsidRDefault="00590F5D" w:rsidP="00601374">
      <w:pPr>
        <w:numPr>
          <w:ilvl w:val="2"/>
          <w:numId w:val="30"/>
        </w:numPr>
        <w:kinsoku w:val="0"/>
        <w:wordWrap/>
        <w:overflowPunct w:val="0"/>
        <w:autoSpaceDE/>
        <w:autoSpaceDN/>
        <w:rPr>
          <w:rFonts w:ascii="Times New Roman"/>
          <w:lang w:val="en-GB"/>
        </w:rPr>
      </w:pPr>
      <w:r w:rsidRPr="00590F5D">
        <w:rPr>
          <w:rFonts w:ascii="Times New Roman"/>
          <w:lang w:val="en-GB"/>
        </w:rPr>
        <w:t xml:space="preserve">Restrictions/conditions on when FBE option can be used will be further identified, in consideration of fair coexistence. </w:t>
      </w:r>
    </w:p>
    <w:p w14:paraId="0EE87DA2"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Strive to minimize the change from current NR design</w:t>
      </w:r>
    </w:p>
    <w:p w14:paraId="13825C25" w14:textId="77777777" w:rsidR="00590F5D" w:rsidRPr="00590F5D" w:rsidRDefault="00590F5D" w:rsidP="00601374">
      <w:pPr>
        <w:numPr>
          <w:ilvl w:val="0"/>
          <w:numId w:val="27"/>
        </w:numPr>
        <w:kinsoku w:val="0"/>
        <w:wordWrap/>
        <w:overflowPunct w:val="0"/>
        <w:autoSpaceDE/>
        <w:autoSpaceDN/>
        <w:rPr>
          <w:rFonts w:ascii="Times New Roman"/>
        </w:rPr>
      </w:pPr>
      <w:r w:rsidRPr="00590F5D">
        <w:rPr>
          <w:rFonts w:ascii="Times New Roman"/>
        </w:rPr>
        <w:t xml:space="preserve">Benefits of using a signal that facilitates its detection with low complexity can be investigated including all/part of the following scenarios/use cases: </w:t>
      </w:r>
    </w:p>
    <w:p w14:paraId="0B15A633"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UE power saving</w:t>
      </w:r>
    </w:p>
    <w:p w14:paraId="5895B330"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Improved coexistence</w:t>
      </w:r>
    </w:p>
    <w:p w14:paraId="02082F47"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 xml:space="preserve">Spatial reuse at least within the same operator network </w:t>
      </w:r>
    </w:p>
    <w:p w14:paraId="0F0A6D6B"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Serving cell transmission burst acquisition</w:t>
      </w:r>
    </w:p>
    <w:p w14:paraId="1E146550" w14:textId="77777777" w:rsidR="00590F5D" w:rsidRPr="00590F5D" w:rsidRDefault="00590F5D" w:rsidP="00601374">
      <w:pPr>
        <w:numPr>
          <w:ilvl w:val="1"/>
          <w:numId w:val="27"/>
        </w:numPr>
        <w:tabs>
          <w:tab w:val="clear" w:pos="1440"/>
        </w:tabs>
        <w:kinsoku w:val="0"/>
        <w:wordWrap/>
        <w:overflowPunct w:val="0"/>
        <w:autoSpaceDE/>
        <w:autoSpaceDN/>
        <w:rPr>
          <w:rFonts w:ascii="Times New Roman"/>
        </w:rPr>
      </w:pPr>
      <w:r w:rsidRPr="00590F5D">
        <w:rPr>
          <w:rFonts w:ascii="Times New Roman"/>
        </w:rPr>
        <w:t>FFS: further usage scenarios</w:t>
      </w:r>
    </w:p>
    <w:p w14:paraId="15984D44" w14:textId="2F0EA934" w:rsidR="00590F5D" w:rsidRDefault="00590F5D" w:rsidP="00601374">
      <w:pPr>
        <w:kinsoku w:val="0"/>
        <w:wordWrap/>
        <w:overflowPunct w:val="0"/>
        <w:autoSpaceDE/>
        <w:autoSpaceDN/>
        <w:rPr>
          <w:rFonts w:ascii="Times New Roman"/>
        </w:rPr>
      </w:pPr>
    </w:p>
    <w:p w14:paraId="399F00F7" w14:textId="5755A9D9" w:rsidR="00DA36D5" w:rsidRPr="00DA36D5" w:rsidRDefault="00DA36D5" w:rsidP="00DA36D5">
      <w:pPr>
        <w:numPr>
          <w:ilvl w:val="0"/>
          <w:numId w:val="27"/>
        </w:numPr>
        <w:kinsoku w:val="0"/>
        <w:wordWrap/>
        <w:overflowPunct w:val="0"/>
        <w:autoSpaceDE/>
        <w:autoSpaceDN/>
        <w:rPr>
          <w:rFonts w:ascii="Times New Roman"/>
        </w:rPr>
      </w:pPr>
      <w:r>
        <w:rPr>
          <w:rFonts w:ascii="Times New Roman"/>
        </w:rPr>
        <w:t xml:space="preserve">Working Assumption: </w:t>
      </w:r>
      <w:r w:rsidRPr="00DA36D5">
        <w:rPr>
          <w:rFonts w:ascii="Times New Roman"/>
        </w:rPr>
        <w:t>Extended CP for SS/PBCH block is not supported for NR-U operation.</w:t>
      </w:r>
    </w:p>
    <w:p w14:paraId="23F4D04F"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Note: This working assumption will be confirmed if there is no issue identified in terms of coverage and delay spread</w:t>
      </w:r>
    </w:p>
    <w:p w14:paraId="01E8329B" w14:textId="77777777" w:rsidR="00DA36D5" w:rsidRPr="000F59F3" w:rsidRDefault="00DA36D5" w:rsidP="00DA36D5">
      <w:pPr>
        <w:ind w:left="720" w:hanging="720"/>
        <w:rPr>
          <w:lang w:eastAsia="x-none"/>
        </w:rPr>
      </w:pPr>
    </w:p>
    <w:p w14:paraId="06A22B91"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hint="eastAsia"/>
        </w:rPr>
        <w:t xml:space="preserve">It has been identified that support of different numerology candidates at least has </w:t>
      </w:r>
      <w:r w:rsidRPr="00DA36D5">
        <w:rPr>
          <w:rFonts w:ascii="Times New Roman"/>
        </w:rPr>
        <w:t xml:space="preserve">the </w:t>
      </w:r>
      <w:r w:rsidRPr="00DA36D5">
        <w:rPr>
          <w:rFonts w:ascii="Times New Roman" w:hint="eastAsia"/>
        </w:rPr>
        <w:t>following specification 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3242"/>
        <w:gridCol w:w="4121"/>
      </w:tblGrid>
      <w:tr w:rsidR="00DA36D5" w:rsidRPr="000F59F3" w14:paraId="1714073F" w14:textId="77777777" w:rsidTr="005B39FE">
        <w:tc>
          <w:tcPr>
            <w:tcW w:w="2065" w:type="dxa"/>
            <w:shd w:val="clear" w:color="auto" w:fill="auto"/>
          </w:tcPr>
          <w:p w14:paraId="166E1F96" w14:textId="77777777" w:rsidR="00DA36D5" w:rsidRPr="000F59F3" w:rsidRDefault="00DA36D5" w:rsidP="005B39FE">
            <w:pPr>
              <w:pStyle w:val="TAH"/>
            </w:pPr>
            <w:bookmarkStart w:id="3" w:name="_Hlk525830964"/>
            <w:r w:rsidRPr="000F59F3">
              <w:t>Item</w:t>
            </w:r>
          </w:p>
        </w:tc>
        <w:tc>
          <w:tcPr>
            <w:tcW w:w="3330" w:type="dxa"/>
            <w:shd w:val="clear" w:color="auto" w:fill="auto"/>
          </w:tcPr>
          <w:p w14:paraId="19BE8307" w14:textId="77777777" w:rsidR="00DA36D5" w:rsidRPr="000F59F3" w:rsidRDefault="00DA36D5" w:rsidP="005B39FE">
            <w:pPr>
              <w:pStyle w:val="TAH"/>
            </w:pPr>
            <w:r w:rsidRPr="000F59F3">
              <w:t>15/30 kHz SCS</w:t>
            </w:r>
          </w:p>
        </w:tc>
        <w:tc>
          <w:tcPr>
            <w:tcW w:w="4234" w:type="dxa"/>
            <w:shd w:val="clear" w:color="auto" w:fill="auto"/>
          </w:tcPr>
          <w:p w14:paraId="3CB56C99" w14:textId="77777777" w:rsidR="00DA36D5" w:rsidRPr="000F59F3" w:rsidRDefault="00DA36D5" w:rsidP="005B39FE">
            <w:pPr>
              <w:pStyle w:val="TAH"/>
            </w:pPr>
            <w:r w:rsidRPr="000F59F3">
              <w:t>60 kHz SCS</w:t>
            </w:r>
          </w:p>
        </w:tc>
      </w:tr>
      <w:tr w:rsidR="00DA36D5" w:rsidRPr="00EF0DFA" w14:paraId="16C99973" w14:textId="77777777" w:rsidTr="005B39FE">
        <w:tc>
          <w:tcPr>
            <w:tcW w:w="2065" w:type="dxa"/>
            <w:shd w:val="clear" w:color="auto" w:fill="auto"/>
          </w:tcPr>
          <w:p w14:paraId="7666B14F" w14:textId="77777777" w:rsidR="00DA36D5" w:rsidRPr="00EF0DFA" w:rsidRDefault="00DA36D5" w:rsidP="005B39FE">
            <w:pPr>
              <w:pStyle w:val="TAL"/>
            </w:pPr>
            <w:r w:rsidRPr="00EF0DFA">
              <w:t>UL Interlace Design</w:t>
            </w:r>
          </w:p>
        </w:tc>
        <w:tc>
          <w:tcPr>
            <w:tcW w:w="3330" w:type="dxa"/>
            <w:shd w:val="clear" w:color="auto" w:fill="auto"/>
          </w:tcPr>
          <w:p w14:paraId="5CAD1118" w14:textId="77777777" w:rsidR="00DA36D5" w:rsidRPr="00EF0DFA" w:rsidRDefault="00DA36D5" w:rsidP="005B39FE">
            <w:pPr>
              <w:pStyle w:val="TAL"/>
            </w:pPr>
            <w:r w:rsidRPr="00EF0DFA">
              <w:t>PRB-based interlacing has following spec impacts.</w:t>
            </w:r>
          </w:p>
          <w:p w14:paraId="7675A70C" w14:textId="77777777" w:rsidR="00DA36D5" w:rsidRPr="00EF0DFA" w:rsidRDefault="00DA36D5" w:rsidP="00DA36D5">
            <w:pPr>
              <w:pStyle w:val="TAL"/>
              <w:numPr>
                <w:ilvl w:val="0"/>
                <w:numId w:val="41"/>
              </w:numPr>
              <w:rPr>
                <w:lang w:val="en-US"/>
              </w:rPr>
            </w:pPr>
            <w:r w:rsidRPr="00EF0DFA">
              <w:rPr>
                <w:lang w:val="en-US"/>
              </w:rPr>
              <w:t>Number of interlaces</w:t>
            </w:r>
          </w:p>
          <w:p w14:paraId="1A9675B1" w14:textId="77777777" w:rsidR="00DA36D5" w:rsidRPr="00EF0DFA" w:rsidRDefault="00DA36D5" w:rsidP="00DA36D5">
            <w:pPr>
              <w:pStyle w:val="TAL"/>
              <w:numPr>
                <w:ilvl w:val="0"/>
                <w:numId w:val="41"/>
              </w:numPr>
              <w:rPr>
                <w:lang w:val="en-US"/>
              </w:rPr>
            </w:pPr>
            <w:r w:rsidRPr="00EF0DFA">
              <w:rPr>
                <w:lang w:val="en-US"/>
              </w:rPr>
              <w:t>Number of PRBs per interlace</w:t>
            </w:r>
          </w:p>
          <w:p w14:paraId="192DC45F" w14:textId="77777777" w:rsidR="00DA36D5" w:rsidRPr="00EF0DFA" w:rsidRDefault="00DA36D5" w:rsidP="00DA36D5">
            <w:pPr>
              <w:pStyle w:val="TAL"/>
              <w:numPr>
                <w:ilvl w:val="0"/>
                <w:numId w:val="41"/>
              </w:numPr>
              <w:rPr>
                <w:lang w:val="en-US"/>
              </w:rPr>
            </w:pPr>
            <w:r w:rsidRPr="00EF0DFA">
              <w:rPr>
                <w:lang w:val="en-US"/>
              </w:rPr>
              <w:t>Resource allocation</w:t>
            </w:r>
          </w:p>
          <w:p w14:paraId="0BD3256A" w14:textId="77777777" w:rsidR="00DA36D5" w:rsidRPr="00EF0DFA" w:rsidRDefault="00DA36D5" w:rsidP="00DA36D5">
            <w:pPr>
              <w:pStyle w:val="TAL"/>
              <w:numPr>
                <w:ilvl w:val="0"/>
                <w:numId w:val="41"/>
              </w:numPr>
            </w:pPr>
            <w:r w:rsidRPr="00EF0DFA">
              <w:rPr>
                <w:lang w:val="en-US"/>
              </w:rPr>
              <w:t>Channel estimation aspects (e.g., impact on PRG)</w:t>
            </w:r>
          </w:p>
        </w:tc>
        <w:tc>
          <w:tcPr>
            <w:tcW w:w="4234" w:type="dxa"/>
            <w:shd w:val="clear" w:color="auto" w:fill="auto"/>
          </w:tcPr>
          <w:p w14:paraId="3E4F1020" w14:textId="77777777" w:rsidR="00DA36D5" w:rsidRPr="00EF0DFA" w:rsidRDefault="00DA36D5" w:rsidP="005B39FE">
            <w:pPr>
              <w:pStyle w:val="TAL"/>
            </w:pPr>
            <w:r w:rsidRPr="00EF0DFA">
              <w:t>PRB-based interlacing has following spec impacts,</w:t>
            </w:r>
          </w:p>
          <w:p w14:paraId="7A2A7370" w14:textId="77777777" w:rsidR="00DA36D5" w:rsidRPr="00EF0DFA" w:rsidRDefault="00DA36D5" w:rsidP="00DA36D5">
            <w:pPr>
              <w:pStyle w:val="TAL"/>
              <w:numPr>
                <w:ilvl w:val="0"/>
                <w:numId w:val="42"/>
              </w:numPr>
              <w:rPr>
                <w:lang w:val="en-US"/>
              </w:rPr>
            </w:pPr>
            <w:r w:rsidRPr="00EF0DFA">
              <w:rPr>
                <w:lang w:val="en-US"/>
              </w:rPr>
              <w:t>Number of interlaces</w:t>
            </w:r>
          </w:p>
          <w:p w14:paraId="499B8B65" w14:textId="77777777" w:rsidR="00DA36D5" w:rsidRPr="00EF0DFA" w:rsidRDefault="00DA36D5" w:rsidP="00DA36D5">
            <w:pPr>
              <w:pStyle w:val="TAL"/>
              <w:numPr>
                <w:ilvl w:val="0"/>
                <w:numId w:val="42"/>
              </w:numPr>
              <w:rPr>
                <w:lang w:val="en-US"/>
              </w:rPr>
            </w:pPr>
            <w:r w:rsidRPr="00EF0DFA">
              <w:rPr>
                <w:lang w:val="en-US"/>
              </w:rPr>
              <w:t>Number of PRBs per interlace</w:t>
            </w:r>
          </w:p>
          <w:p w14:paraId="6F3F7755" w14:textId="77777777" w:rsidR="00DA36D5" w:rsidRPr="00EF0DFA" w:rsidRDefault="00DA36D5" w:rsidP="00DA36D5">
            <w:pPr>
              <w:pStyle w:val="TAL"/>
              <w:numPr>
                <w:ilvl w:val="0"/>
                <w:numId w:val="42"/>
              </w:numPr>
              <w:rPr>
                <w:lang w:val="en-US"/>
              </w:rPr>
            </w:pPr>
            <w:r w:rsidRPr="00EF0DFA">
              <w:rPr>
                <w:lang w:val="en-US"/>
              </w:rPr>
              <w:t>Resource allocation</w:t>
            </w:r>
          </w:p>
          <w:p w14:paraId="70D1E951" w14:textId="77777777" w:rsidR="00DA36D5" w:rsidRPr="00EF0DFA" w:rsidRDefault="00DA36D5" w:rsidP="00DA36D5">
            <w:pPr>
              <w:pStyle w:val="TAL"/>
              <w:numPr>
                <w:ilvl w:val="0"/>
                <w:numId w:val="42"/>
              </w:numPr>
              <w:rPr>
                <w:lang w:val="en-US"/>
              </w:rPr>
            </w:pPr>
            <w:r w:rsidRPr="00EF0DFA">
              <w:rPr>
                <w:lang w:val="en-US"/>
              </w:rPr>
              <w:t>Channel estimation aspects (e.g., impact on PRG)</w:t>
            </w:r>
          </w:p>
          <w:p w14:paraId="3FF0C8EE" w14:textId="77777777" w:rsidR="00DA36D5" w:rsidRPr="00EF0DFA" w:rsidRDefault="00DA36D5" w:rsidP="005B39FE">
            <w:pPr>
              <w:pStyle w:val="TAL"/>
            </w:pPr>
            <w:r w:rsidRPr="00EF0DFA">
              <w:t>In addition to above impacts, sub-PRB-based interlacing has following spec impacts,</w:t>
            </w:r>
          </w:p>
          <w:p w14:paraId="135919B9" w14:textId="77777777" w:rsidR="00DA36D5" w:rsidRPr="00EF0DFA" w:rsidRDefault="00DA36D5" w:rsidP="00DA36D5">
            <w:pPr>
              <w:pStyle w:val="TAL"/>
              <w:numPr>
                <w:ilvl w:val="0"/>
                <w:numId w:val="43"/>
              </w:numPr>
              <w:rPr>
                <w:lang w:val="en-US"/>
              </w:rPr>
            </w:pPr>
            <w:r w:rsidRPr="00EF0DFA">
              <w:rPr>
                <w:lang w:val="en-US"/>
              </w:rPr>
              <w:t>Reference signal design (e.g., DMRS )</w:t>
            </w:r>
          </w:p>
          <w:p w14:paraId="5C3C77B7" w14:textId="77777777" w:rsidR="00DA36D5" w:rsidRPr="00EF0DFA" w:rsidRDefault="00DA36D5" w:rsidP="00DA36D5">
            <w:pPr>
              <w:pStyle w:val="TAL"/>
              <w:numPr>
                <w:ilvl w:val="0"/>
                <w:numId w:val="43"/>
              </w:numPr>
            </w:pPr>
            <w:r w:rsidRPr="00EF0DFA">
              <w:rPr>
                <w:lang w:val="en-US"/>
              </w:rPr>
              <w:t>Resource allocation</w:t>
            </w:r>
          </w:p>
        </w:tc>
      </w:tr>
      <w:tr w:rsidR="00DA36D5" w:rsidRPr="00EF0DFA" w14:paraId="7646FAFC" w14:textId="77777777" w:rsidTr="005B39FE">
        <w:tc>
          <w:tcPr>
            <w:tcW w:w="2065" w:type="dxa"/>
            <w:shd w:val="clear" w:color="auto" w:fill="auto"/>
          </w:tcPr>
          <w:p w14:paraId="4F108ED1" w14:textId="77777777" w:rsidR="00DA36D5" w:rsidRPr="00EF0DFA" w:rsidRDefault="00DA36D5" w:rsidP="005B39FE">
            <w:pPr>
              <w:pStyle w:val="TAL"/>
            </w:pPr>
            <w:r w:rsidRPr="00EF0DFA">
              <w:t>NR-U DRS Design</w:t>
            </w:r>
          </w:p>
        </w:tc>
        <w:tc>
          <w:tcPr>
            <w:tcW w:w="3330" w:type="dxa"/>
            <w:shd w:val="clear" w:color="auto" w:fill="auto"/>
          </w:tcPr>
          <w:p w14:paraId="4943D10D" w14:textId="77777777" w:rsidR="00DA36D5" w:rsidRPr="00EF0DFA" w:rsidRDefault="00DA36D5" w:rsidP="00DA36D5">
            <w:pPr>
              <w:pStyle w:val="TAL"/>
              <w:numPr>
                <w:ilvl w:val="0"/>
                <w:numId w:val="43"/>
              </w:numPr>
              <w:rPr>
                <w:lang w:val="en-US"/>
              </w:rPr>
            </w:pPr>
            <w:r w:rsidRPr="00EF0DFA">
              <w:rPr>
                <w:lang w:val="en-US"/>
              </w:rPr>
              <w:t>SS/PBCH block time domain pattern is already supported in Rel-15</w:t>
            </w:r>
          </w:p>
        </w:tc>
        <w:tc>
          <w:tcPr>
            <w:tcW w:w="4234" w:type="dxa"/>
            <w:shd w:val="clear" w:color="auto" w:fill="auto"/>
          </w:tcPr>
          <w:p w14:paraId="49B7B37E" w14:textId="77777777" w:rsidR="00DA36D5" w:rsidRPr="00EF0DFA" w:rsidRDefault="00DA36D5" w:rsidP="00DA36D5">
            <w:pPr>
              <w:pStyle w:val="TAL"/>
              <w:numPr>
                <w:ilvl w:val="0"/>
                <w:numId w:val="43"/>
              </w:numPr>
              <w:rPr>
                <w:lang w:val="en-US"/>
              </w:rPr>
            </w:pPr>
            <w:r w:rsidRPr="00EF0DFA">
              <w:rPr>
                <w:lang w:val="en-US"/>
              </w:rPr>
              <w:t>SS/PBCH block time domain pattern is not supported in Rel-15</w:t>
            </w:r>
          </w:p>
          <w:p w14:paraId="276DC576" w14:textId="77777777" w:rsidR="00DA36D5" w:rsidRPr="00EF0DFA" w:rsidRDefault="00DA36D5" w:rsidP="00DA36D5">
            <w:pPr>
              <w:pStyle w:val="TAL"/>
              <w:numPr>
                <w:ilvl w:val="1"/>
                <w:numId w:val="43"/>
              </w:numPr>
              <w:rPr>
                <w:lang w:val="en-US"/>
              </w:rPr>
            </w:pPr>
            <w:r w:rsidRPr="00EF0DFA">
              <w:rPr>
                <w:lang w:val="en-US"/>
              </w:rPr>
              <w:t>FFS for scaling Rel-15 design or new design</w:t>
            </w:r>
          </w:p>
          <w:p w14:paraId="393D0DCB" w14:textId="77777777" w:rsidR="00DA36D5" w:rsidRPr="00EF0DFA" w:rsidRDefault="00DA36D5" w:rsidP="00DA36D5">
            <w:pPr>
              <w:pStyle w:val="TAL"/>
              <w:numPr>
                <w:ilvl w:val="0"/>
                <w:numId w:val="43"/>
              </w:numPr>
              <w:rPr>
                <w:lang w:val="en-US"/>
              </w:rPr>
            </w:pPr>
            <w:r w:rsidRPr="00EF0DFA">
              <w:rPr>
                <w:lang w:val="en-US"/>
              </w:rPr>
              <w:t>SS/PBCH block – CORESET configuration tables (38.213, Section 13) is not supported in Rel-15</w:t>
            </w:r>
          </w:p>
        </w:tc>
      </w:tr>
      <w:bookmarkEnd w:id="3"/>
    </w:tbl>
    <w:p w14:paraId="1C179860" w14:textId="77777777" w:rsidR="00DA36D5" w:rsidRPr="000F59F3" w:rsidRDefault="00DA36D5" w:rsidP="00DA36D5">
      <w:pPr>
        <w:ind w:left="720" w:hanging="720"/>
        <w:rPr>
          <w:lang w:eastAsia="x-none"/>
        </w:rPr>
      </w:pPr>
    </w:p>
    <w:p w14:paraId="503D540B" w14:textId="77777777" w:rsidR="00DA36D5" w:rsidRPr="000F59F3" w:rsidRDefault="00DA36D5" w:rsidP="00DA36D5">
      <w:pPr>
        <w:ind w:left="720" w:hanging="720"/>
        <w:rPr>
          <w:lang w:eastAsia="x-none"/>
        </w:rPr>
      </w:pPr>
    </w:p>
    <w:p w14:paraId="0CDCF33B"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t>NR-U should support that a serving cell can be configured with bandwidth larger than 20 MHz.</w:t>
      </w:r>
    </w:p>
    <w:p w14:paraId="136BE2C5"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For DL operation, the following options for BWP-based operation within a carrier with bandwidth larger than 20 MHz can be considered.</w:t>
      </w:r>
    </w:p>
    <w:p w14:paraId="2CE76C38" w14:textId="77777777" w:rsidR="00DA36D5" w:rsidRPr="00DA36D5" w:rsidRDefault="00DA36D5" w:rsidP="00DA36D5">
      <w:pPr>
        <w:numPr>
          <w:ilvl w:val="2"/>
          <w:numId w:val="31"/>
        </w:numPr>
        <w:kinsoku w:val="0"/>
        <w:wordWrap/>
        <w:overflowPunct w:val="0"/>
        <w:autoSpaceDE/>
        <w:autoSpaceDN/>
        <w:rPr>
          <w:rFonts w:ascii="Times New Roman"/>
          <w:lang w:val="en-GB"/>
        </w:rPr>
      </w:pPr>
      <w:r w:rsidRPr="00DA36D5">
        <w:rPr>
          <w:rFonts w:ascii="Times New Roman"/>
          <w:lang w:val="en-GB"/>
        </w:rPr>
        <w:t>Option 1a: Multiple BWPs configured, multiple BWPs activated, transmission of PDSCH on one or more BWPs</w:t>
      </w:r>
    </w:p>
    <w:p w14:paraId="452F7337" w14:textId="77777777" w:rsidR="00DA36D5" w:rsidRPr="00DA36D5" w:rsidRDefault="00DA36D5" w:rsidP="00DA36D5">
      <w:pPr>
        <w:numPr>
          <w:ilvl w:val="2"/>
          <w:numId w:val="31"/>
        </w:numPr>
        <w:kinsoku w:val="0"/>
        <w:wordWrap/>
        <w:overflowPunct w:val="0"/>
        <w:autoSpaceDE/>
        <w:autoSpaceDN/>
        <w:rPr>
          <w:rFonts w:ascii="Times New Roman"/>
          <w:lang w:val="en-GB"/>
        </w:rPr>
      </w:pPr>
      <w:r w:rsidRPr="00DA36D5">
        <w:rPr>
          <w:rFonts w:ascii="Times New Roman"/>
          <w:lang w:val="en-GB"/>
        </w:rPr>
        <w:t>Option 1b: Multiple BWPs configured, multiple BWPs activated, transmission of PDSCH on single BWP</w:t>
      </w:r>
    </w:p>
    <w:p w14:paraId="4863DAC6" w14:textId="77777777" w:rsidR="00DA36D5" w:rsidRPr="00DA36D5" w:rsidRDefault="00DA36D5" w:rsidP="00DA36D5">
      <w:pPr>
        <w:numPr>
          <w:ilvl w:val="2"/>
          <w:numId w:val="31"/>
        </w:numPr>
        <w:kinsoku w:val="0"/>
        <w:wordWrap/>
        <w:overflowPunct w:val="0"/>
        <w:autoSpaceDE/>
        <w:autoSpaceDN/>
        <w:rPr>
          <w:rFonts w:ascii="Times New Roman"/>
          <w:lang w:val="en-GB"/>
        </w:rPr>
      </w:pPr>
      <w:r w:rsidRPr="00DA36D5">
        <w:rPr>
          <w:rFonts w:ascii="Times New Roman"/>
          <w:lang w:val="en-GB"/>
        </w:rPr>
        <w:t>Option 2: Multiple BWPs can be configured, single BWP activated, gNB transmits PDSCH on a single BWP if CCA is successful at gNB for the whole BWP</w:t>
      </w:r>
    </w:p>
    <w:p w14:paraId="39CCB6F2" w14:textId="77777777" w:rsidR="00DA36D5" w:rsidRPr="00DA36D5" w:rsidRDefault="00DA36D5" w:rsidP="00DA36D5">
      <w:pPr>
        <w:numPr>
          <w:ilvl w:val="2"/>
          <w:numId w:val="31"/>
        </w:numPr>
        <w:kinsoku w:val="0"/>
        <w:wordWrap/>
        <w:overflowPunct w:val="0"/>
        <w:autoSpaceDE/>
        <w:autoSpaceDN/>
        <w:rPr>
          <w:rFonts w:ascii="Times New Roman"/>
          <w:lang w:val="en-GB"/>
        </w:rPr>
      </w:pPr>
      <w:r w:rsidRPr="00DA36D5">
        <w:rPr>
          <w:rFonts w:ascii="Times New Roman"/>
          <w:lang w:val="en-GB"/>
        </w:rPr>
        <w:t>Option 3: Multiple BWPs can be configured, single BWP activated, gNB transmits PDSCH on parts or whole of single BWP where CCA is successful at gNB</w:t>
      </w:r>
    </w:p>
    <w:p w14:paraId="7D9333A8"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Note: CCA is declared to be successful or not in multiples of 20 MHz.</w:t>
      </w:r>
    </w:p>
    <w:p w14:paraId="1331BAC1"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FFS for UL operation including some or all of above options can be applied</w:t>
      </w:r>
    </w:p>
    <w:p w14:paraId="75D6485D" w14:textId="77777777" w:rsidR="00DA36D5" w:rsidRPr="00DA36D5" w:rsidRDefault="00DA36D5" w:rsidP="00494775">
      <w:pPr>
        <w:numPr>
          <w:ilvl w:val="1"/>
          <w:numId w:val="27"/>
        </w:numPr>
        <w:kinsoku w:val="0"/>
        <w:wordWrap/>
        <w:overflowPunct w:val="0"/>
        <w:autoSpaceDE/>
        <w:autoSpaceDN/>
        <w:rPr>
          <w:rFonts w:ascii="Times New Roman"/>
        </w:rPr>
      </w:pPr>
      <w:r w:rsidRPr="00DA36D5">
        <w:rPr>
          <w:rFonts w:ascii="Times New Roman"/>
        </w:rPr>
        <w:t>Note: Capture the following in TR only after further discussion for down-selecting from the options in RAN1#95.</w:t>
      </w:r>
    </w:p>
    <w:p w14:paraId="793EBEE2" w14:textId="77777777" w:rsidR="00DA36D5" w:rsidRDefault="00DA36D5" w:rsidP="00DA36D5">
      <w:pPr>
        <w:ind w:left="720" w:hanging="720"/>
        <w:rPr>
          <w:highlight w:val="green"/>
          <w:lang w:eastAsia="x-none"/>
        </w:rPr>
      </w:pPr>
    </w:p>
    <w:p w14:paraId="32D6818A"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t>For unlicensed PCell, the UE assumes single SSB numerology per band.</w:t>
      </w:r>
    </w:p>
    <w:p w14:paraId="22DF227E"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t>It has been identified to be beneficial for the NR-U design to not require the gNB to change a pre-determined TBS for a PDSCH transmission depending on the LBT outcome, at least when the PDSCH is transmitted at the beginning of the gNB’s COT.</w:t>
      </w:r>
    </w:p>
    <w:p w14:paraId="1C567098"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lastRenderedPageBreak/>
        <w:t>The following options have been identified as possible candidates for PDSCH transmission in the partial slot at least for the first PDSCH(s) transmitted in the DL transmission burst.</w:t>
      </w:r>
    </w:p>
    <w:p w14:paraId="3B2A4AB1"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Option 1: PDSCH(s) as in Rel-15 NR</w:t>
      </w:r>
    </w:p>
    <w:p w14:paraId="6080291D"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Option 2: Punctured PDSCH depending on LBT outcome</w:t>
      </w:r>
    </w:p>
    <w:p w14:paraId="2FB61BF2"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Option 3: PDSCH mapping type B with durations other than 2/4/7 symbols</w:t>
      </w:r>
    </w:p>
    <w:p w14:paraId="785AE7A8"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Option 4: PDSCH across slot boundary</w:t>
      </w:r>
    </w:p>
    <w:p w14:paraId="52760294"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FFS for signalling details, specification impact, implementation complexity</w:t>
      </w:r>
    </w:p>
    <w:p w14:paraId="144DCCFF"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Note: Above options are not mutually exclusive.</w:t>
      </w:r>
    </w:p>
    <w:p w14:paraId="4703BA73"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t>In addition to the functionalities provided by DCI format 2_0 in Rel-15 NR, indication of the COT structure in the time domain has been identified as being beneficial.</w:t>
      </w:r>
    </w:p>
    <w:p w14:paraId="0291F804" w14:textId="77777777" w:rsidR="00DA36D5" w:rsidRPr="00DA36D5" w:rsidRDefault="00DA36D5" w:rsidP="00DA36D5">
      <w:pPr>
        <w:numPr>
          <w:ilvl w:val="0"/>
          <w:numId w:val="27"/>
        </w:numPr>
        <w:kinsoku w:val="0"/>
        <w:wordWrap/>
        <w:overflowPunct w:val="0"/>
        <w:autoSpaceDE/>
        <w:autoSpaceDN/>
        <w:rPr>
          <w:rFonts w:ascii="Times New Roman"/>
        </w:rPr>
      </w:pPr>
      <w:r w:rsidRPr="00DA36D5">
        <w:rPr>
          <w:rFonts w:ascii="Times New Roman"/>
        </w:rPr>
        <w:t>It has been identified that FBE operation for the scenario where it is guaranteed that LBE nodes are absent on a long term basis (e.g., by level of regulation) and FBE gNBs are synchronized can achieve the following.</w:t>
      </w:r>
    </w:p>
    <w:p w14:paraId="34E4502D"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Ability to use frequency reuse factor 1</w:t>
      </w:r>
    </w:p>
    <w:p w14:paraId="35E493F6"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Lower complexity for channel access due to lack of necessity to perform random backoff</w:t>
      </w:r>
    </w:p>
    <w:p w14:paraId="1D0D0508"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FFS requirement of synchronization accuracy</w:t>
      </w:r>
    </w:p>
    <w:p w14:paraId="1786D462"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FFS specification impact</w:t>
      </w:r>
    </w:p>
    <w:p w14:paraId="2A8E6A3A"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Note: This does not imply that LBE does not have benefits in similar scenarios although there are differences between the two modes of operation</w:t>
      </w:r>
    </w:p>
    <w:p w14:paraId="348DF682" w14:textId="77777777" w:rsidR="00DA36D5" w:rsidRPr="00DA36D5" w:rsidRDefault="00DA36D5" w:rsidP="00DA36D5">
      <w:pPr>
        <w:numPr>
          <w:ilvl w:val="1"/>
          <w:numId w:val="27"/>
        </w:numPr>
        <w:kinsoku w:val="0"/>
        <w:wordWrap/>
        <w:overflowPunct w:val="0"/>
        <w:autoSpaceDE/>
        <w:autoSpaceDN/>
        <w:rPr>
          <w:rFonts w:ascii="Times New Roman"/>
        </w:rPr>
      </w:pPr>
      <w:r w:rsidRPr="00DA36D5">
        <w:rPr>
          <w:rFonts w:ascii="Times New Roman"/>
        </w:rPr>
        <w:t>Note: FBE may also have some disadvantages compared to other modes of operation such as LBE, e.g., a fixed overhead for idle time during a frame.</w:t>
      </w:r>
    </w:p>
    <w:p w14:paraId="607DEAB5" w14:textId="77777777" w:rsidR="00DA36D5" w:rsidRPr="0093482D" w:rsidRDefault="00DA36D5" w:rsidP="00601374">
      <w:pPr>
        <w:kinsoku w:val="0"/>
        <w:wordWrap/>
        <w:overflowPunct w:val="0"/>
        <w:autoSpaceDE/>
        <w:autoSpaceDN/>
        <w:rPr>
          <w:rFonts w:ascii="Times New Roman"/>
        </w:rPr>
      </w:pPr>
    </w:p>
    <w:p w14:paraId="66284953" w14:textId="6A292D1A" w:rsidR="00B559A2" w:rsidRDefault="00B559A2" w:rsidP="00601374">
      <w:pPr>
        <w:pStyle w:val="LGTdoc1"/>
        <w:kinsoku w:val="0"/>
        <w:overflowPunct w:val="0"/>
        <w:spacing w:beforeLines="0" w:before="120" w:after="0" w:afterAutospacing="0"/>
        <w:rPr>
          <w:b w:val="0"/>
          <w:sz w:val="20"/>
        </w:rPr>
      </w:pPr>
      <w:r w:rsidRPr="0099677A">
        <w:rPr>
          <w:b w:val="0"/>
          <w:sz w:val="20"/>
        </w:rPr>
        <w:t xml:space="preserve">In this contribution we provide </w:t>
      </w:r>
      <w:r w:rsidR="00A72FDC" w:rsidRPr="0099677A">
        <w:rPr>
          <w:b w:val="0"/>
          <w:sz w:val="20"/>
        </w:rPr>
        <w:t xml:space="preserve">some </w:t>
      </w:r>
      <w:r w:rsidR="001D3F02" w:rsidRPr="0099677A">
        <w:rPr>
          <w:b w:val="0"/>
          <w:sz w:val="20"/>
        </w:rPr>
        <w:t>high-level</w:t>
      </w:r>
      <w:r w:rsidRPr="0099677A">
        <w:rPr>
          <w:b w:val="0"/>
          <w:sz w:val="20"/>
        </w:rPr>
        <w:t xml:space="preserve"> views on </w:t>
      </w:r>
      <w:r w:rsidR="00830E76">
        <w:rPr>
          <w:b w:val="0"/>
          <w:sz w:val="20"/>
        </w:rPr>
        <w:t xml:space="preserve">the </w:t>
      </w:r>
      <w:r w:rsidR="00727A74" w:rsidRPr="0099677A">
        <w:rPr>
          <w:b w:val="0"/>
          <w:sz w:val="20"/>
        </w:rPr>
        <w:t>frame structure</w:t>
      </w:r>
      <w:r w:rsidR="00830E76">
        <w:rPr>
          <w:b w:val="0"/>
          <w:sz w:val="20"/>
        </w:rPr>
        <w:t>, SCS,</w:t>
      </w:r>
      <w:r w:rsidR="00727A74" w:rsidRPr="0099677A">
        <w:rPr>
          <w:b w:val="0"/>
          <w:sz w:val="20"/>
        </w:rPr>
        <w:t xml:space="preserve"> </w:t>
      </w:r>
      <w:r w:rsidR="001557DC" w:rsidRPr="0099677A">
        <w:rPr>
          <w:b w:val="0"/>
          <w:sz w:val="20"/>
        </w:rPr>
        <w:t xml:space="preserve">and physical layer procedures </w:t>
      </w:r>
      <w:r w:rsidR="00727A74" w:rsidRPr="0099677A">
        <w:rPr>
          <w:b w:val="0"/>
          <w:sz w:val="20"/>
        </w:rPr>
        <w:t>for NR unlicensed</w:t>
      </w:r>
      <w:r w:rsidRPr="0099677A">
        <w:rPr>
          <w:b w:val="0"/>
          <w:sz w:val="20"/>
        </w:rPr>
        <w:t>.</w:t>
      </w:r>
      <w:r w:rsidR="003B7920">
        <w:rPr>
          <w:b w:val="0"/>
          <w:sz w:val="20"/>
        </w:rPr>
        <w:t xml:space="preserve"> We consider both LBE and FBE devices.</w:t>
      </w:r>
    </w:p>
    <w:p w14:paraId="36D5C619" w14:textId="292C2534" w:rsidR="003B0DA8" w:rsidRDefault="003B0DA8" w:rsidP="00601374">
      <w:pPr>
        <w:pStyle w:val="Heading1"/>
        <w:kinsoku w:val="0"/>
        <w:spacing w:after="0"/>
      </w:pPr>
      <w:r>
        <w:t>NR-U numerology</w:t>
      </w:r>
    </w:p>
    <w:p w14:paraId="1F56E656" w14:textId="3108AE8C" w:rsidR="008105BD" w:rsidRDefault="008105BD" w:rsidP="00601374">
      <w:pPr>
        <w:pStyle w:val="body"/>
        <w:kinsoku w:val="0"/>
        <w:overflowPunct w:val="0"/>
        <w:spacing w:after="0"/>
      </w:pPr>
      <w:r>
        <w:t xml:space="preserve">In </w:t>
      </w:r>
      <w:r>
        <w:fldChar w:fldCharType="begin"/>
      </w:r>
      <w:r>
        <w:instrText xml:space="preserve"> REF _Ref513577777 \h </w:instrText>
      </w:r>
      <w:r>
        <w:fldChar w:fldCharType="separate"/>
      </w:r>
      <w:r w:rsidR="0075101C">
        <w:t xml:space="preserve">Figure </w:t>
      </w:r>
      <w:r w:rsidR="0075101C">
        <w:rPr>
          <w:noProof/>
        </w:rPr>
        <w:t>1</w:t>
      </w:r>
      <w:r>
        <w:fldChar w:fldCharType="end"/>
      </w:r>
      <w:r>
        <w:t xml:space="preserve"> we show the LBT and slot/mini-slot boundary misalignment overhead as function of the MCOT duration. We can see that for full-slot scheduling SCS of 30KHz has an overhead between 5 to 27% for MCOT durations between 1 to 5ms. The overhead reduces nearly by a factor of 2 with use of SCS of 60KHz. Thus, for full-slot based scheduling, 60Khz SCS does offer significant savings. </w:t>
      </w:r>
      <w:r w:rsidR="008613F2">
        <w:t xml:space="preserve">We should also add that in some cases, when scheduling UEs in UL that see hidden node interference, gNB may have to obtain the medium and send UL grants </w:t>
      </w:r>
      <w:r w:rsidR="00936958">
        <w:t xml:space="preserve">along </w:t>
      </w:r>
      <w:r w:rsidR="008613F2">
        <w:t xml:space="preserve">with the mis-alignment overhead. UE may not be able to respond as it may be seeing </w:t>
      </w:r>
      <w:r w:rsidR="00CB7AFB">
        <w:t xml:space="preserve">the hidden node </w:t>
      </w:r>
      <w:r w:rsidR="008613F2">
        <w:t xml:space="preserve">interference. In such cases the gNB may keep sending such grants repeatedly causing significant interference in the network. Finer slot granularity helps mitigate such issues as well. </w:t>
      </w:r>
    </w:p>
    <w:p w14:paraId="63CF2C82" w14:textId="77777777" w:rsidR="008105BD" w:rsidRDefault="008105BD" w:rsidP="00601374">
      <w:pPr>
        <w:pStyle w:val="body"/>
        <w:kinsoku w:val="0"/>
        <w:overflowPunct w:val="0"/>
        <w:spacing w:before="0" w:after="0"/>
      </w:pPr>
    </w:p>
    <w:p w14:paraId="1DEB6B11" w14:textId="77777777" w:rsidR="008105BD" w:rsidRDefault="008105BD" w:rsidP="00601374">
      <w:pPr>
        <w:pStyle w:val="body"/>
        <w:kinsoku w:val="0"/>
        <w:overflowPunct w:val="0"/>
        <w:spacing w:before="0" w:after="0"/>
      </w:pPr>
      <w:r>
        <w:t>Similar mis-alignment overhead as slot based scheduling with 60KHz SCS can be obtained by using 30KHz SCS and mini-slot comprising 7 symbols. However, supporting SCS of 60KHz provides some important additional advantages over SCS of 30KHz with mini-slots which are listed below:</w:t>
      </w:r>
    </w:p>
    <w:p w14:paraId="6B773DF8" w14:textId="77777777" w:rsidR="008105BD" w:rsidRDefault="008105BD" w:rsidP="00601374">
      <w:pPr>
        <w:pStyle w:val="body"/>
        <w:numPr>
          <w:ilvl w:val="0"/>
          <w:numId w:val="28"/>
        </w:numPr>
        <w:kinsoku w:val="0"/>
        <w:overflowPunct w:val="0"/>
        <w:spacing w:before="0" w:after="0"/>
      </w:pPr>
      <w:r>
        <w:t xml:space="preserve">A larger BW can be addressed in a single carrier with SCS of 60KHz vs that with 30KHz </w:t>
      </w:r>
    </w:p>
    <w:p w14:paraId="58914848" w14:textId="77777777" w:rsidR="008105BD" w:rsidRDefault="008105BD" w:rsidP="00601374">
      <w:pPr>
        <w:pStyle w:val="body"/>
        <w:numPr>
          <w:ilvl w:val="0"/>
          <w:numId w:val="28"/>
        </w:numPr>
        <w:kinsoku w:val="0"/>
        <w:overflowPunct w:val="0"/>
        <w:spacing w:before="0" w:after="0"/>
      </w:pPr>
      <w:r>
        <w:t xml:space="preserve">Since granularity of allocation is one symbol, SCS of 60KHz provides finer time domain allocation granularity. </w:t>
      </w:r>
    </w:p>
    <w:p w14:paraId="588ECF4A" w14:textId="77777777" w:rsidR="008105BD" w:rsidRDefault="008105BD" w:rsidP="00601374">
      <w:pPr>
        <w:pStyle w:val="body"/>
        <w:numPr>
          <w:ilvl w:val="1"/>
          <w:numId w:val="28"/>
        </w:numPr>
        <w:kinsoku w:val="0"/>
        <w:overflowPunct w:val="0"/>
        <w:spacing w:before="0" w:after="0"/>
      </w:pPr>
      <w:r>
        <w:t>One benefit of this is that the granularity of the LBT gaps that are created, for example for switching between DL and UL or for switching between one UE to another UE within UL slots, is finer (in units of ~16us vs in units of ~33us). This not only reduces the overhead but also reduces the likelihood of losing the medium within the gNB TxOP.</w:t>
      </w:r>
    </w:p>
    <w:p w14:paraId="79B3419D" w14:textId="77777777" w:rsidR="008105BD" w:rsidRDefault="008105BD" w:rsidP="00601374">
      <w:pPr>
        <w:pStyle w:val="body"/>
        <w:numPr>
          <w:ilvl w:val="1"/>
          <w:numId w:val="28"/>
        </w:numPr>
        <w:kinsoku w:val="0"/>
        <w:overflowPunct w:val="0"/>
        <w:spacing w:before="0" w:after="0"/>
      </w:pPr>
      <w:r>
        <w:t>Another benefit is the overhead for control channels would be smaller. For example, we may need only one symbol for control signal transmissions (such as ACK/SRS/RACH/UL grant etc) every few ms with both SCS of 30KHz and 60Khz. This would thus be higher overhead for 30KHz SCS over 60Khz SCS.</w:t>
      </w:r>
    </w:p>
    <w:p w14:paraId="6CE92E47" w14:textId="77777777" w:rsidR="008105BD" w:rsidRDefault="008105BD" w:rsidP="00601374">
      <w:pPr>
        <w:pStyle w:val="body"/>
        <w:numPr>
          <w:ilvl w:val="0"/>
          <w:numId w:val="28"/>
        </w:numPr>
        <w:kinsoku w:val="0"/>
        <w:overflowPunct w:val="0"/>
        <w:spacing w:before="0" w:after="0"/>
      </w:pPr>
      <w:r>
        <w:t xml:space="preserve">For self-contained-slots, we would like to have ACK transmitted on the same slot as the data. This would require creating gaps to switch between DL and UL. When the gap is &lt; 16us no LBT is needed. With SCS of 60Khz the symbol duration without considering CP is around 16.66us whereas for 30Khz SCS the symbol duration is around 33.33us. 60KHz SCS thus would better enable avoiding LBT for self-contained slots. </w:t>
      </w:r>
    </w:p>
    <w:p w14:paraId="48A13894" w14:textId="77777777" w:rsidR="008105BD" w:rsidRDefault="008105BD" w:rsidP="00601374">
      <w:pPr>
        <w:pStyle w:val="body"/>
        <w:keepNext/>
        <w:kinsoku w:val="0"/>
        <w:overflowPunct w:val="0"/>
        <w:spacing w:after="0"/>
        <w:jc w:val="center"/>
      </w:pPr>
      <w:r w:rsidRPr="00423262">
        <w:rPr>
          <w:noProof/>
        </w:rPr>
        <w:lastRenderedPageBreak/>
        <w:drawing>
          <wp:inline distT="0" distB="0" distL="0" distR="0" wp14:anchorId="75B97A96" wp14:editId="67A0B10B">
            <wp:extent cx="3833317" cy="2874874"/>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5139" cy="2876241"/>
                    </a:xfrm>
                    <a:prstGeom prst="rect">
                      <a:avLst/>
                    </a:prstGeom>
                    <a:noFill/>
                    <a:ln>
                      <a:noFill/>
                    </a:ln>
                  </pic:spPr>
                </pic:pic>
              </a:graphicData>
            </a:graphic>
          </wp:inline>
        </w:drawing>
      </w:r>
    </w:p>
    <w:p w14:paraId="6C04570F" w14:textId="445CBF1A" w:rsidR="008105BD" w:rsidRDefault="008105BD" w:rsidP="00601374">
      <w:pPr>
        <w:pStyle w:val="Caption"/>
        <w:kinsoku w:val="0"/>
        <w:spacing w:after="0"/>
        <w:jc w:val="center"/>
        <w:rPr>
          <w:noProof/>
        </w:rPr>
      </w:pPr>
      <w:bookmarkStart w:id="4" w:name="_Ref513577777"/>
      <w:r>
        <w:t xml:space="preserve">Figure </w:t>
      </w:r>
      <w:r>
        <w:fldChar w:fldCharType="begin"/>
      </w:r>
      <w:r>
        <w:instrText xml:space="preserve"> SEQ Figure \* ARABIC </w:instrText>
      </w:r>
      <w:r>
        <w:fldChar w:fldCharType="separate"/>
      </w:r>
      <w:r w:rsidR="0075101C">
        <w:rPr>
          <w:noProof/>
        </w:rPr>
        <w:t>1</w:t>
      </w:r>
      <w:r>
        <w:fldChar w:fldCharType="end"/>
      </w:r>
      <w:bookmarkEnd w:id="4"/>
      <w:r>
        <w:t>: Amount of unused MCOT</w:t>
      </w:r>
      <w:r>
        <w:rPr>
          <w:noProof/>
        </w:rPr>
        <w:t xml:space="preserve"> due to slot and LBT misalignment</w:t>
      </w:r>
    </w:p>
    <w:p w14:paraId="7D8CDDB8" w14:textId="77777777" w:rsidR="008105BD" w:rsidRDefault="008105BD" w:rsidP="00601374">
      <w:pPr>
        <w:pStyle w:val="body"/>
        <w:kinsoku w:val="0"/>
        <w:overflowPunct w:val="0"/>
        <w:spacing w:after="0"/>
      </w:pPr>
      <w:r>
        <w:t>Given the above-mentioned advantages provided by SCS of 60KHz and the lower misalignment overhead we propose that SCS of 60Khz also be supported for NR-U.</w:t>
      </w:r>
    </w:p>
    <w:p w14:paraId="2022E50A" w14:textId="79AE90E8" w:rsidR="008105BD" w:rsidRPr="006C212E" w:rsidRDefault="008105BD" w:rsidP="00601374">
      <w:pPr>
        <w:pStyle w:val="LGTdoc1"/>
        <w:kinsoku w:val="0"/>
        <w:overflowPunct w:val="0"/>
        <w:spacing w:beforeLines="0" w:before="120" w:after="0" w:afterAutospacing="0"/>
        <w:rPr>
          <w:sz w:val="20"/>
        </w:rPr>
      </w:pPr>
      <w:bookmarkStart w:id="5" w:name="p1"/>
      <w:r w:rsidRPr="006C212E">
        <w:rPr>
          <w:sz w:val="20"/>
        </w:rPr>
        <w:t xml:space="preserve">Proposal </w:t>
      </w:r>
      <w:r>
        <w:rPr>
          <w:sz w:val="20"/>
        </w:rPr>
        <w:fldChar w:fldCharType="begin"/>
      </w:r>
      <w:r>
        <w:rPr>
          <w:sz w:val="20"/>
        </w:rPr>
        <w:instrText xml:space="preserve"> seq prop </w:instrText>
      </w:r>
      <w:r>
        <w:rPr>
          <w:sz w:val="20"/>
        </w:rPr>
        <w:fldChar w:fldCharType="separate"/>
      </w:r>
      <w:r w:rsidR="0075101C">
        <w:rPr>
          <w:noProof/>
          <w:sz w:val="20"/>
        </w:rPr>
        <w:t>1</w:t>
      </w:r>
      <w:r>
        <w:rPr>
          <w:sz w:val="20"/>
        </w:rPr>
        <w:fldChar w:fldCharType="end"/>
      </w:r>
      <w:r w:rsidRPr="006C212E">
        <w:rPr>
          <w:sz w:val="20"/>
        </w:rPr>
        <w:t xml:space="preserve">: </w:t>
      </w:r>
      <w:r>
        <w:rPr>
          <w:sz w:val="20"/>
        </w:rPr>
        <w:t>NR-U supports SCS of 15, 30, and 60Khz in sub-7GHz</w:t>
      </w:r>
      <w:bookmarkEnd w:id="5"/>
    </w:p>
    <w:p w14:paraId="22BB6744" w14:textId="77777777" w:rsidR="003B0DA8" w:rsidRPr="003B0DA8" w:rsidRDefault="003B0DA8" w:rsidP="00601374">
      <w:pPr>
        <w:pStyle w:val="body"/>
        <w:kinsoku w:val="0"/>
        <w:overflowPunct w:val="0"/>
        <w:rPr>
          <w:lang w:eastAsia="en-US"/>
        </w:rPr>
      </w:pPr>
    </w:p>
    <w:p w14:paraId="176D0F01" w14:textId="4DF24A67" w:rsidR="00B45132" w:rsidRDefault="00B45132" w:rsidP="00601374">
      <w:pPr>
        <w:pStyle w:val="Heading1"/>
        <w:kinsoku w:val="0"/>
        <w:spacing w:after="0"/>
      </w:pPr>
      <w:r>
        <w:t>LBE vs FBE</w:t>
      </w:r>
    </w:p>
    <w:p w14:paraId="03AE2D3C" w14:textId="429E1CF7" w:rsidR="00B45132" w:rsidRDefault="003B7920" w:rsidP="00601374">
      <w:pPr>
        <w:pStyle w:val="LGTdoc1"/>
        <w:kinsoku w:val="0"/>
        <w:overflowPunct w:val="0"/>
        <w:spacing w:beforeLines="0" w:before="120" w:after="0" w:afterAutospacing="0"/>
        <w:rPr>
          <w:b w:val="0"/>
          <w:sz w:val="20"/>
        </w:rPr>
      </w:pPr>
      <w:r w:rsidRPr="003B7920">
        <w:rPr>
          <w:b w:val="0"/>
          <w:sz w:val="20"/>
        </w:rPr>
        <w:t xml:space="preserve">In </w:t>
      </w:r>
      <w:r>
        <w:rPr>
          <w:b w:val="0"/>
          <w:sz w:val="20"/>
        </w:rPr>
        <w:t>[</w:t>
      </w:r>
      <w:r w:rsidR="006662B2">
        <w:rPr>
          <w:b w:val="0"/>
          <w:sz w:val="20"/>
        </w:rPr>
        <w:t>3</w:t>
      </w:r>
      <w:r>
        <w:rPr>
          <w:b w:val="0"/>
          <w:sz w:val="20"/>
        </w:rPr>
        <w:t>],</w:t>
      </w:r>
      <w:r w:rsidR="004B60A5">
        <w:rPr>
          <w:b w:val="0"/>
          <w:sz w:val="20"/>
        </w:rPr>
        <w:t xml:space="preserve"> two adaptive channel access mechanisms are</w:t>
      </w:r>
      <w:r>
        <w:rPr>
          <w:b w:val="0"/>
          <w:sz w:val="20"/>
        </w:rPr>
        <w:t xml:space="preserve"> </w:t>
      </w:r>
      <w:r w:rsidR="004B60A5">
        <w:rPr>
          <w:b w:val="0"/>
          <w:sz w:val="20"/>
        </w:rPr>
        <w:t xml:space="preserve">defined: </w:t>
      </w:r>
      <w:r>
        <w:rPr>
          <w:b w:val="0"/>
          <w:sz w:val="20"/>
        </w:rPr>
        <w:t>Load Based Equipment (LBE) and Frame Based Equipment (FBE). Though the regulation</w:t>
      </w:r>
      <w:r w:rsidR="006E34AE">
        <w:rPr>
          <w:b w:val="0"/>
          <w:sz w:val="20"/>
        </w:rPr>
        <w:t>s</w:t>
      </w:r>
      <w:r>
        <w:rPr>
          <w:b w:val="0"/>
          <w:sz w:val="20"/>
        </w:rPr>
        <w:t xml:space="preserve"> </w:t>
      </w:r>
      <w:r w:rsidR="006E34AE">
        <w:rPr>
          <w:b w:val="0"/>
          <w:sz w:val="20"/>
        </w:rPr>
        <w:t xml:space="preserve">are </w:t>
      </w:r>
      <w:r>
        <w:rPr>
          <w:b w:val="0"/>
          <w:sz w:val="20"/>
        </w:rPr>
        <w:t xml:space="preserve">defined for 5GHz band, the basic principle can be generalized to other bands as well. </w:t>
      </w:r>
    </w:p>
    <w:p w14:paraId="0352123C" w14:textId="687F74C9" w:rsidR="00590789" w:rsidRPr="00590789" w:rsidRDefault="003B7920" w:rsidP="00601374">
      <w:pPr>
        <w:pStyle w:val="LGTdoc1"/>
        <w:kinsoku w:val="0"/>
        <w:overflowPunct w:val="0"/>
        <w:spacing w:before="120" w:after="0" w:afterAutospacing="0"/>
        <w:rPr>
          <w:b w:val="0"/>
          <w:sz w:val="20"/>
        </w:rPr>
      </w:pPr>
      <w:r>
        <w:rPr>
          <w:b w:val="0"/>
          <w:sz w:val="20"/>
        </w:rPr>
        <w:t>LBE</w:t>
      </w:r>
      <w:r w:rsidR="00F04A9C">
        <w:rPr>
          <w:b w:val="0"/>
          <w:sz w:val="20"/>
        </w:rPr>
        <w:t xml:space="preserve"> is an equipment where </w:t>
      </w:r>
      <w:r w:rsidR="00F04A9C" w:rsidRPr="00F04A9C">
        <w:rPr>
          <w:b w:val="0"/>
          <w:sz w:val="20"/>
        </w:rPr>
        <w:t>a Listen Before Talk (LBT) based Channel Access Mechanism to detect the</w:t>
      </w:r>
      <w:r w:rsidR="00F43B23">
        <w:rPr>
          <w:b w:val="0"/>
          <w:sz w:val="20"/>
        </w:rPr>
        <w:t xml:space="preserve"> </w:t>
      </w:r>
      <w:r w:rsidR="00F04A9C" w:rsidRPr="00F04A9C">
        <w:rPr>
          <w:b w:val="0"/>
          <w:sz w:val="20"/>
        </w:rPr>
        <w:t>presence of other RLAN transmissions on an Operating Channel</w:t>
      </w:r>
      <w:r w:rsidR="00F43B23">
        <w:rPr>
          <w:b w:val="0"/>
          <w:sz w:val="20"/>
        </w:rPr>
        <w:t xml:space="preserve"> is implemented.</w:t>
      </w:r>
      <w:r w:rsidR="00F43B23" w:rsidRPr="00F43B23">
        <w:t xml:space="preserve"> </w:t>
      </w:r>
      <w:r w:rsidR="00F43B23">
        <w:rPr>
          <w:b w:val="0"/>
          <w:sz w:val="20"/>
        </w:rPr>
        <w:t>A</w:t>
      </w:r>
      <w:r w:rsidR="00F43B23" w:rsidRPr="00F43B23">
        <w:rPr>
          <w:b w:val="0"/>
          <w:sz w:val="20"/>
        </w:rPr>
        <w:t xml:space="preserve"> device that initiates a sequence of one or more transmissions is</w:t>
      </w:r>
      <w:r w:rsidR="00F43B23">
        <w:rPr>
          <w:b w:val="0"/>
          <w:sz w:val="20"/>
        </w:rPr>
        <w:t xml:space="preserve"> </w:t>
      </w:r>
      <w:r w:rsidR="00F43B23" w:rsidRPr="00F43B23">
        <w:rPr>
          <w:b w:val="0"/>
          <w:sz w:val="20"/>
        </w:rPr>
        <w:t>denoted as the Initiating Device. Otherwise, the device is denoted as a Responding Device. Load Based Equipment may</w:t>
      </w:r>
      <w:r w:rsidR="00F43B23">
        <w:rPr>
          <w:b w:val="0"/>
          <w:sz w:val="20"/>
        </w:rPr>
        <w:t xml:space="preserve"> </w:t>
      </w:r>
      <w:r w:rsidR="00F43B23" w:rsidRPr="00F43B23">
        <w:rPr>
          <w:b w:val="0"/>
          <w:sz w:val="20"/>
        </w:rPr>
        <w:t>be an Initiating Device, a Responding Device, or both.</w:t>
      </w:r>
      <w:r w:rsidR="00F43B23">
        <w:rPr>
          <w:b w:val="0"/>
          <w:sz w:val="20"/>
        </w:rPr>
        <w:t xml:space="preserve"> </w:t>
      </w:r>
      <w:r w:rsidR="00F43B23" w:rsidRPr="00F43B23">
        <w:rPr>
          <w:b w:val="0"/>
          <w:sz w:val="20"/>
        </w:rPr>
        <w:t>Each transmission belongs to a single Channel Occupancy Time (COT). A Channel Occupancy Time (COT) consists of</w:t>
      </w:r>
      <w:r w:rsidR="00F43B23">
        <w:rPr>
          <w:b w:val="0"/>
          <w:sz w:val="20"/>
        </w:rPr>
        <w:t xml:space="preserve"> </w:t>
      </w:r>
      <w:r w:rsidR="00F43B23" w:rsidRPr="00F43B23">
        <w:rPr>
          <w:b w:val="0"/>
          <w:sz w:val="20"/>
        </w:rPr>
        <w:t>one or more transmissions of an Initiating Device and zero or more transmissions of one or more Responding Devices.</w:t>
      </w:r>
      <w:r w:rsidR="00F43B23">
        <w:rPr>
          <w:b w:val="0"/>
          <w:sz w:val="20"/>
        </w:rPr>
        <w:t xml:space="preserve"> </w:t>
      </w:r>
      <w:r w:rsidR="00F43B23" w:rsidRPr="00F43B23">
        <w:rPr>
          <w:b w:val="0"/>
          <w:sz w:val="20"/>
        </w:rPr>
        <w:t>The Initiating Device shall implement a Channel Access Mechanism with prioritized, truncated exponential back off</w:t>
      </w:r>
      <w:r w:rsidR="00F43B23">
        <w:rPr>
          <w:b w:val="0"/>
          <w:sz w:val="20"/>
        </w:rPr>
        <w:t xml:space="preserve"> </w:t>
      </w:r>
      <w:r w:rsidR="00F43B23" w:rsidRPr="00F43B23">
        <w:rPr>
          <w:b w:val="0"/>
          <w:sz w:val="20"/>
        </w:rPr>
        <w:t>mechanism</w:t>
      </w:r>
      <w:r w:rsidR="00F43B23">
        <w:rPr>
          <w:b w:val="0"/>
          <w:sz w:val="20"/>
        </w:rPr>
        <w:t>. The channel access parameters, including contention window size, and maximum COT, depend on the priority class. The Responding Device can receive a grant from the Initiating Device to transmit on the current Operating Channel</w:t>
      </w:r>
      <w:r w:rsidR="00590789">
        <w:rPr>
          <w:b w:val="0"/>
          <w:sz w:val="20"/>
        </w:rPr>
        <w:t xml:space="preserve">. </w:t>
      </w:r>
      <w:r w:rsidR="00590789" w:rsidRPr="00590789">
        <w:rPr>
          <w:b w:val="0"/>
          <w:sz w:val="20"/>
        </w:rPr>
        <w:t>The Responding Device may proceed with such transmissions without performing a Clear Channel</w:t>
      </w:r>
      <w:r w:rsidR="00590789">
        <w:rPr>
          <w:b w:val="0"/>
          <w:sz w:val="20"/>
        </w:rPr>
        <w:t xml:space="preserve"> </w:t>
      </w:r>
      <w:r w:rsidR="00590789" w:rsidRPr="00590789">
        <w:rPr>
          <w:b w:val="0"/>
          <w:sz w:val="20"/>
        </w:rPr>
        <w:t xml:space="preserve">Assessment (CCA) if these transmissions are initiated </w:t>
      </w:r>
      <w:r w:rsidR="00512157">
        <w:rPr>
          <w:b w:val="0"/>
          <w:sz w:val="20"/>
        </w:rPr>
        <w:t>within</w:t>
      </w:r>
      <w:r w:rsidR="00590789" w:rsidRPr="00590789">
        <w:rPr>
          <w:b w:val="0"/>
          <w:sz w:val="20"/>
        </w:rPr>
        <w:t xml:space="preserve">16μs </w:t>
      </w:r>
      <w:r w:rsidR="00512157">
        <w:rPr>
          <w:b w:val="0"/>
          <w:sz w:val="20"/>
        </w:rPr>
        <w:t>of</w:t>
      </w:r>
      <w:r w:rsidR="00512157" w:rsidRPr="00590789">
        <w:rPr>
          <w:b w:val="0"/>
          <w:sz w:val="20"/>
        </w:rPr>
        <w:t xml:space="preserve"> </w:t>
      </w:r>
      <w:r w:rsidR="00590789" w:rsidRPr="00590789">
        <w:rPr>
          <w:b w:val="0"/>
          <w:sz w:val="20"/>
        </w:rPr>
        <w:t>the last transmission by the</w:t>
      </w:r>
      <w:r w:rsidR="00590789">
        <w:rPr>
          <w:b w:val="0"/>
          <w:sz w:val="20"/>
        </w:rPr>
        <w:t xml:space="preserve"> </w:t>
      </w:r>
      <w:r w:rsidR="00590789" w:rsidRPr="00590789">
        <w:rPr>
          <w:b w:val="0"/>
          <w:sz w:val="20"/>
        </w:rPr>
        <w:t>Initiating Device that issued the grant.</w:t>
      </w:r>
      <w:r w:rsidR="00590789">
        <w:rPr>
          <w:b w:val="0"/>
          <w:sz w:val="20"/>
        </w:rPr>
        <w:t xml:space="preserve"> </w:t>
      </w:r>
      <w:r w:rsidR="00590789" w:rsidRPr="00590789">
        <w:rPr>
          <w:b w:val="0"/>
          <w:sz w:val="20"/>
        </w:rPr>
        <w:t xml:space="preserve"> The Responding Device that does not proceed with such transmissions within 16μs after the last</w:t>
      </w:r>
      <w:r w:rsidR="00590789">
        <w:rPr>
          <w:b w:val="0"/>
          <w:sz w:val="20"/>
        </w:rPr>
        <w:t xml:space="preserve"> </w:t>
      </w:r>
      <w:r w:rsidR="00590789" w:rsidRPr="00590789">
        <w:rPr>
          <w:b w:val="0"/>
          <w:sz w:val="20"/>
        </w:rPr>
        <w:t>transmission from the Initiating Device that issued the grant, shall perform a Clear Channel Assessment</w:t>
      </w:r>
      <w:r w:rsidR="00590789">
        <w:rPr>
          <w:b w:val="0"/>
          <w:sz w:val="20"/>
        </w:rPr>
        <w:t xml:space="preserve"> </w:t>
      </w:r>
      <w:r w:rsidR="00590789" w:rsidRPr="00590789">
        <w:rPr>
          <w:b w:val="0"/>
          <w:sz w:val="20"/>
        </w:rPr>
        <w:t>(CCA) on the Operating Channel during a single observation slot within a 25μs period ending</w:t>
      </w:r>
      <w:r w:rsidR="00590789">
        <w:rPr>
          <w:b w:val="0"/>
          <w:sz w:val="20"/>
        </w:rPr>
        <w:t xml:space="preserve"> </w:t>
      </w:r>
      <w:r w:rsidR="00590789" w:rsidRPr="00590789">
        <w:rPr>
          <w:b w:val="0"/>
          <w:sz w:val="20"/>
        </w:rPr>
        <w:t xml:space="preserve">immediately before the granted transmission time. If energy was detected with a level above the </w:t>
      </w:r>
      <w:r w:rsidR="00512157">
        <w:rPr>
          <w:b w:val="0"/>
          <w:sz w:val="20"/>
        </w:rPr>
        <w:t>Energy Detection (</w:t>
      </w:r>
      <w:r w:rsidR="00590789" w:rsidRPr="00590789">
        <w:rPr>
          <w:b w:val="0"/>
          <w:sz w:val="20"/>
        </w:rPr>
        <w:t>ED</w:t>
      </w:r>
      <w:r w:rsidR="00512157">
        <w:rPr>
          <w:b w:val="0"/>
          <w:sz w:val="20"/>
        </w:rPr>
        <w:t>)</w:t>
      </w:r>
      <w:r w:rsidR="00590789">
        <w:rPr>
          <w:b w:val="0"/>
          <w:sz w:val="20"/>
        </w:rPr>
        <w:t xml:space="preserve"> </w:t>
      </w:r>
      <w:r w:rsidR="00590789" w:rsidRPr="00590789">
        <w:rPr>
          <w:b w:val="0"/>
          <w:sz w:val="20"/>
        </w:rPr>
        <w:t xml:space="preserve">Threshold, the Responding Device shall </w:t>
      </w:r>
      <w:r w:rsidR="00590789">
        <w:rPr>
          <w:b w:val="0"/>
          <w:sz w:val="20"/>
        </w:rPr>
        <w:t>not transmit</w:t>
      </w:r>
      <w:r w:rsidR="00590789" w:rsidRPr="00590789">
        <w:rPr>
          <w:b w:val="0"/>
          <w:sz w:val="20"/>
        </w:rPr>
        <w:t>. Otherwise, the</w:t>
      </w:r>
      <w:r w:rsidR="00590789">
        <w:rPr>
          <w:b w:val="0"/>
          <w:sz w:val="20"/>
        </w:rPr>
        <w:t xml:space="preserve"> </w:t>
      </w:r>
      <w:r w:rsidR="00590789" w:rsidRPr="00590789">
        <w:rPr>
          <w:b w:val="0"/>
          <w:sz w:val="20"/>
        </w:rPr>
        <w:t xml:space="preserve">Responding Device shall </w:t>
      </w:r>
      <w:r w:rsidR="00590789">
        <w:rPr>
          <w:b w:val="0"/>
          <w:sz w:val="20"/>
        </w:rPr>
        <w:t>follow the grant.</w:t>
      </w:r>
    </w:p>
    <w:p w14:paraId="5A1CB99C" w14:textId="2357420A" w:rsidR="004B60A5" w:rsidRPr="004B60A5" w:rsidRDefault="003B7920" w:rsidP="00601374">
      <w:pPr>
        <w:pStyle w:val="LGTdoc1"/>
        <w:kinsoku w:val="0"/>
        <w:overflowPunct w:val="0"/>
        <w:spacing w:beforeLines="0" w:before="120" w:after="0" w:afterAutospacing="0"/>
        <w:rPr>
          <w:b w:val="0"/>
          <w:sz w:val="20"/>
        </w:rPr>
      </w:pPr>
      <w:r>
        <w:rPr>
          <w:b w:val="0"/>
          <w:sz w:val="20"/>
        </w:rPr>
        <w:t>FBE</w:t>
      </w:r>
      <w:r w:rsidR="004B60A5">
        <w:rPr>
          <w:b w:val="0"/>
          <w:sz w:val="20"/>
        </w:rPr>
        <w:t xml:space="preserve"> is an </w:t>
      </w:r>
      <w:r w:rsidR="004B60A5" w:rsidRPr="004B60A5">
        <w:rPr>
          <w:b w:val="0"/>
          <w:sz w:val="20"/>
        </w:rPr>
        <w:t xml:space="preserve">equipment where the transmit/receive structure has a periodic timing </w:t>
      </w:r>
      <w:r w:rsidR="006E34AE" w:rsidRPr="006E34AE">
        <w:rPr>
          <w:b w:val="0"/>
          <w:sz w:val="20"/>
        </w:rPr>
        <w:t>with periodicity of Fixed Frame Period. The Fixed Frame Period is between 1ms to 10ms</w:t>
      </w:r>
      <w:r w:rsidR="00355154">
        <w:rPr>
          <w:b w:val="0"/>
          <w:sz w:val="20"/>
        </w:rPr>
        <w:t xml:space="preserve">. </w:t>
      </w:r>
      <w:r w:rsidR="004B60A5" w:rsidRPr="004B60A5">
        <w:rPr>
          <w:b w:val="0"/>
          <w:sz w:val="20"/>
        </w:rPr>
        <w:t>The Fixed Frame Periods supported by the equipment shall be declared by the manufacturer</w:t>
      </w:r>
      <w:r w:rsidR="00355154">
        <w:rPr>
          <w:b w:val="0"/>
          <w:sz w:val="20"/>
        </w:rPr>
        <w:t xml:space="preserve">. </w:t>
      </w:r>
      <w:r w:rsidR="004B60A5" w:rsidRPr="004B60A5">
        <w:rPr>
          <w:b w:val="0"/>
          <w:sz w:val="20"/>
        </w:rPr>
        <w:t xml:space="preserve">An equipment may change its Fixed Frame Period but it shall not do </w:t>
      </w:r>
      <w:r w:rsidR="00512157">
        <w:rPr>
          <w:b w:val="0"/>
          <w:sz w:val="20"/>
        </w:rPr>
        <w:t xml:space="preserve">so </w:t>
      </w:r>
      <w:r w:rsidR="004B60A5" w:rsidRPr="004B60A5">
        <w:rPr>
          <w:b w:val="0"/>
          <w:sz w:val="20"/>
        </w:rPr>
        <w:t>more than once every 200ms</w:t>
      </w:r>
      <w:r w:rsidR="00355154">
        <w:rPr>
          <w:b w:val="0"/>
          <w:sz w:val="20"/>
        </w:rPr>
        <w:t xml:space="preserve">. </w:t>
      </w:r>
      <w:r w:rsidR="004B60A5" w:rsidRPr="004B60A5">
        <w:rPr>
          <w:b w:val="0"/>
          <w:sz w:val="20"/>
        </w:rPr>
        <w:t>Frame Based Equipment shall implement a Listen Before Talk (LBT) based Channel Access Mechanism</w:t>
      </w:r>
      <w:r w:rsidR="00355154">
        <w:rPr>
          <w:b w:val="0"/>
          <w:sz w:val="20"/>
        </w:rPr>
        <w:t>, where a</w:t>
      </w:r>
      <w:r w:rsidR="004B60A5" w:rsidRPr="004B60A5">
        <w:rPr>
          <w:b w:val="0"/>
          <w:sz w:val="20"/>
        </w:rPr>
        <w:t xml:space="preserve"> single Observation Slot shall have a duration of not less than 9μs</w:t>
      </w:r>
      <w:r w:rsidR="00355154">
        <w:rPr>
          <w:b w:val="0"/>
          <w:sz w:val="20"/>
        </w:rPr>
        <w:t xml:space="preserve">. </w:t>
      </w:r>
      <w:r w:rsidR="00355154" w:rsidRPr="004B60A5">
        <w:rPr>
          <w:b w:val="0"/>
          <w:sz w:val="20"/>
        </w:rPr>
        <w:t>The total time during which Frame Based Equipment can have transmissions on a given channel without re-evaluating the availability of that channel, is defined as the Channel Occupancy Time (COT)</w:t>
      </w:r>
      <w:r w:rsidR="00355154">
        <w:rPr>
          <w:b w:val="0"/>
          <w:sz w:val="20"/>
        </w:rPr>
        <w:t xml:space="preserve">. </w:t>
      </w:r>
      <w:r w:rsidR="00355154" w:rsidRPr="004B60A5">
        <w:rPr>
          <w:b w:val="0"/>
          <w:sz w:val="20"/>
          <w:lang w:val="en-US"/>
        </w:rPr>
        <w:t xml:space="preserve">The </w:t>
      </w:r>
      <w:r w:rsidR="00355154">
        <w:rPr>
          <w:b w:val="0"/>
          <w:sz w:val="20"/>
          <w:lang w:val="en-US"/>
        </w:rPr>
        <w:t>CO</w:t>
      </w:r>
      <w:r w:rsidR="008708FE">
        <w:rPr>
          <w:b w:val="0"/>
          <w:sz w:val="20"/>
          <w:lang w:val="en-US"/>
        </w:rPr>
        <w:t>T</w:t>
      </w:r>
      <w:r w:rsidR="00355154">
        <w:rPr>
          <w:b w:val="0"/>
          <w:sz w:val="20"/>
          <w:lang w:val="en-US"/>
        </w:rPr>
        <w:t xml:space="preserve"> shal</w:t>
      </w:r>
      <w:r w:rsidR="00355154" w:rsidRPr="004B60A5">
        <w:rPr>
          <w:b w:val="0"/>
          <w:sz w:val="20"/>
          <w:lang w:val="en-US"/>
        </w:rPr>
        <w:t>l not be greater than 95% of the Fixed Frame Period and shall be followed by an Idle Period until the start of the next Fixed Frame Period such that the Idle Period is at least 5% of the Channel Occupancy Time, with a minimum of 100μs</w:t>
      </w:r>
      <w:r w:rsidR="00355154">
        <w:rPr>
          <w:b w:val="0"/>
          <w:sz w:val="20"/>
          <w:lang w:val="en-US"/>
        </w:rPr>
        <w:t xml:space="preserve">. </w:t>
      </w:r>
      <w:r w:rsidR="004B60A5" w:rsidRPr="004B60A5">
        <w:rPr>
          <w:b w:val="0"/>
          <w:sz w:val="20"/>
        </w:rPr>
        <w:t>Frame Based Equipment may be an Initiating Device, a Responding Device, or bot</w:t>
      </w:r>
      <w:r w:rsidR="00355154">
        <w:rPr>
          <w:b w:val="0"/>
          <w:sz w:val="20"/>
        </w:rPr>
        <w:t>h, where a</w:t>
      </w:r>
      <w:r w:rsidR="004B60A5" w:rsidRPr="004B60A5">
        <w:rPr>
          <w:b w:val="0"/>
          <w:sz w:val="20"/>
        </w:rPr>
        <w:t xml:space="preserve"> device that initiates a sequence of one or more transmissions is denoted as the Initiating Device</w:t>
      </w:r>
      <w:r w:rsidR="00355154">
        <w:rPr>
          <w:b w:val="0"/>
          <w:sz w:val="20"/>
        </w:rPr>
        <w:t xml:space="preserve">. </w:t>
      </w:r>
      <w:r w:rsidR="004B60A5" w:rsidRPr="004B60A5">
        <w:rPr>
          <w:b w:val="0"/>
          <w:sz w:val="20"/>
        </w:rPr>
        <w:t>Otherwise, the device is denoted as a Responding Device</w:t>
      </w:r>
      <w:r w:rsidR="00FF611B">
        <w:rPr>
          <w:b w:val="0"/>
          <w:sz w:val="20"/>
        </w:rPr>
        <w:t>.</w:t>
      </w:r>
      <w:r w:rsidR="004B60A5" w:rsidRPr="004B60A5">
        <w:rPr>
          <w:b w:val="0"/>
          <w:sz w:val="20"/>
        </w:rPr>
        <w:t xml:space="preserve"> </w:t>
      </w:r>
    </w:p>
    <w:p w14:paraId="1B097249" w14:textId="36FEAB48" w:rsidR="004B60A5" w:rsidRDefault="00590789" w:rsidP="00DF0720">
      <w:pPr>
        <w:pStyle w:val="LGTdoc1"/>
        <w:kinsoku w:val="0"/>
        <w:overflowPunct w:val="0"/>
        <w:spacing w:before="120"/>
        <w:rPr>
          <w:b w:val="0"/>
          <w:sz w:val="20"/>
        </w:rPr>
      </w:pPr>
      <w:r>
        <w:rPr>
          <w:b w:val="0"/>
          <w:sz w:val="20"/>
        </w:rPr>
        <w:lastRenderedPageBreak/>
        <w:t>The LBE mechanism has been extensively studied in LTE-LAA (including eLAA and feLAA) feature. Since the main target</w:t>
      </w:r>
      <w:r w:rsidR="00344B48">
        <w:rPr>
          <w:b w:val="0"/>
          <w:sz w:val="20"/>
        </w:rPr>
        <w:t xml:space="preserve"> band</w:t>
      </w:r>
      <w:r>
        <w:rPr>
          <w:b w:val="0"/>
          <w:sz w:val="20"/>
        </w:rPr>
        <w:t xml:space="preserve"> of LTE-LAA is 5GHz and fair coexistence with Wi</w:t>
      </w:r>
      <w:r w:rsidR="00C031E9">
        <w:rPr>
          <w:b w:val="0"/>
          <w:sz w:val="20"/>
        </w:rPr>
        <w:t>-</w:t>
      </w:r>
      <w:r>
        <w:rPr>
          <w:b w:val="0"/>
          <w:sz w:val="20"/>
        </w:rPr>
        <w:t>Fi 11ac (which is an LBE system) is required, LBE is a natural choice for LTE-LAA as well. For NR-U, the same use case</w:t>
      </w:r>
      <w:r w:rsidR="00E628ED">
        <w:rPr>
          <w:b w:val="0"/>
          <w:sz w:val="20"/>
        </w:rPr>
        <w:t>s</w:t>
      </w:r>
      <w:r>
        <w:rPr>
          <w:b w:val="0"/>
          <w:sz w:val="20"/>
        </w:rPr>
        <w:t xml:space="preserve"> as LTE-LAA </w:t>
      </w:r>
      <w:r w:rsidR="008708FE">
        <w:rPr>
          <w:b w:val="0"/>
          <w:sz w:val="20"/>
        </w:rPr>
        <w:t>are applicable</w:t>
      </w:r>
      <w:r>
        <w:rPr>
          <w:b w:val="0"/>
          <w:sz w:val="20"/>
        </w:rPr>
        <w:t xml:space="preserve"> as well. So LBE channel access mechanism should also be considered for NR-U. On the other hand, for 5G systems, other use cases, such as industrial automation, can also be supported. In these new use cases, the operator (possibly the factory) may have the capability to control the deployment environment such that</w:t>
      </w:r>
      <w:r w:rsidR="006C212E">
        <w:rPr>
          <w:b w:val="0"/>
          <w:sz w:val="20"/>
        </w:rPr>
        <w:t xml:space="preserve"> there </w:t>
      </w:r>
      <w:r w:rsidR="00FF611B">
        <w:rPr>
          <w:b w:val="0"/>
          <w:sz w:val="20"/>
        </w:rPr>
        <w:t>are</w:t>
      </w:r>
      <w:r w:rsidR="006C212E">
        <w:rPr>
          <w:b w:val="0"/>
          <w:sz w:val="20"/>
        </w:rPr>
        <w:t xml:space="preserve"> no Wi</w:t>
      </w:r>
      <w:r w:rsidR="00C031E9">
        <w:rPr>
          <w:b w:val="0"/>
          <w:sz w:val="20"/>
        </w:rPr>
        <w:t>-</w:t>
      </w:r>
      <w:r w:rsidR="006C212E">
        <w:rPr>
          <w:b w:val="0"/>
          <w:sz w:val="20"/>
        </w:rPr>
        <w:t xml:space="preserve">Fi based interferers near-by. In these cases, FBE channel access mechanism can be further considered as well to take advantage of the simplicity and higher efficiency of the FBE system. </w:t>
      </w:r>
      <w:r w:rsidR="00107E3F">
        <w:rPr>
          <w:b w:val="0"/>
          <w:sz w:val="20"/>
        </w:rPr>
        <w:t>Some of the benefits of</w:t>
      </w:r>
      <w:r w:rsidR="00107E3F" w:rsidRPr="00107E3F">
        <w:rPr>
          <w:b w:val="0"/>
          <w:sz w:val="20"/>
        </w:rPr>
        <w:t xml:space="preserve"> FBE operation </w:t>
      </w:r>
      <w:r w:rsidR="00107E3F">
        <w:rPr>
          <w:b w:val="0"/>
          <w:sz w:val="20"/>
        </w:rPr>
        <w:t>when</w:t>
      </w:r>
      <w:r w:rsidR="00107E3F" w:rsidRPr="00107E3F">
        <w:rPr>
          <w:b w:val="0"/>
          <w:sz w:val="20"/>
        </w:rPr>
        <w:t xml:space="preserve"> gNBs are synchronized </w:t>
      </w:r>
      <w:r w:rsidR="00107E3F">
        <w:rPr>
          <w:b w:val="0"/>
          <w:sz w:val="20"/>
        </w:rPr>
        <w:t>such as a</w:t>
      </w:r>
      <w:r w:rsidR="00107E3F" w:rsidRPr="00107E3F">
        <w:rPr>
          <w:b w:val="0"/>
          <w:sz w:val="20"/>
        </w:rPr>
        <w:t>bility to use frequency reuse factor 1</w:t>
      </w:r>
      <w:r w:rsidR="00DF0720">
        <w:rPr>
          <w:b w:val="0"/>
          <w:sz w:val="20"/>
        </w:rPr>
        <w:t xml:space="preserve"> </w:t>
      </w:r>
      <w:r w:rsidR="00107E3F">
        <w:rPr>
          <w:b w:val="0"/>
          <w:sz w:val="20"/>
        </w:rPr>
        <w:t xml:space="preserve">were already agreed in RAN1#94bis. </w:t>
      </w:r>
      <w:r w:rsidR="006C212E">
        <w:rPr>
          <w:b w:val="0"/>
          <w:sz w:val="20"/>
        </w:rPr>
        <w:t>Therefore, we propose to support both LBE and FBE channel access mechanisms for NR-U.</w:t>
      </w:r>
    </w:p>
    <w:p w14:paraId="738B5C4B" w14:textId="5437E150" w:rsidR="006C212E" w:rsidRPr="006C212E" w:rsidRDefault="006C212E" w:rsidP="00601374">
      <w:pPr>
        <w:pStyle w:val="LGTdoc1"/>
        <w:kinsoku w:val="0"/>
        <w:overflowPunct w:val="0"/>
        <w:spacing w:beforeLines="0" w:before="120" w:after="0" w:afterAutospacing="0"/>
        <w:rPr>
          <w:sz w:val="20"/>
        </w:rPr>
      </w:pPr>
      <w:bookmarkStart w:id="6" w:name="p2"/>
      <w:r w:rsidRPr="0075101C">
        <w:rPr>
          <w:sz w:val="20"/>
        </w:rPr>
        <w:t xml:space="preserve">Proposal </w:t>
      </w:r>
      <w:r w:rsidRPr="0075101C">
        <w:rPr>
          <w:sz w:val="20"/>
        </w:rPr>
        <w:fldChar w:fldCharType="begin"/>
      </w:r>
      <w:r w:rsidRPr="0075101C">
        <w:rPr>
          <w:sz w:val="20"/>
        </w:rPr>
        <w:instrText xml:space="preserve"> seq prop </w:instrText>
      </w:r>
      <w:r w:rsidRPr="0075101C">
        <w:rPr>
          <w:sz w:val="20"/>
        </w:rPr>
        <w:fldChar w:fldCharType="separate"/>
      </w:r>
      <w:r w:rsidR="0075101C">
        <w:rPr>
          <w:noProof/>
          <w:sz w:val="20"/>
        </w:rPr>
        <w:t>2</w:t>
      </w:r>
      <w:r w:rsidRPr="0075101C">
        <w:rPr>
          <w:sz w:val="20"/>
        </w:rPr>
        <w:fldChar w:fldCharType="end"/>
      </w:r>
      <w:r w:rsidR="008C476C" w:rsidRPr="0075101C">
        <w:rPr>
          <w:sz w:val="20"/>
        </w:rPr>
        <w:t>:</w:t>
      </w:r>
      <w:r w:rsidRPr="0075101C">
        <w:rPr>
          <w:sz w:val="20"/>
        </w:rPr>
        <w:t xml:space="preserve"> </w:t>
      </w:r>
      <w:r w:rsidR="00107E3F" w:rsidRPr="0075101C">
        <w:rPr>
          <w:sz w:val="20"/>
        </w:rPr>
        <w:t xml:space="preserve">Support </w:t>
      </w:r>
      <w:r w:rsidRPr="0075101C">
        <w:rPr>
          <w:sz w:val="20"/>
        </w:rPr>
        <w:t>both LBE and FBE based channel access mechanisms for NR-U</w:t>
      </w:r>
      <w:r w:rsidR="0075101C" w:rsidRPr="0075101C">
        <w:rPr>
          <w:sz w:val="20"/>
        </w:rPr>
        <w:t xml:space="preserve"> and identify the spec impact for FBE support</w:t>
      </w:r>
    </w:p>
    <w:bookmarkEnd w:id="6"/>
    <w:p w14:paraId="641FEE69" w14:textId="5286E6FE" w:rsidR="00770545" w:rsidRDefault="00770545" w:rsidP="00601374">
      <w:pPr>
        <w:pStyle w:val="LGTdoc1"/>
        <w:kinsoku w:val="0"/>
        <w:overflowPunct w:val="0"/>
        <w:spacing w:beforeLines="0" w:before="120" w:after="0" w:afterAutospacing="0"/>
        <w:rPr>
          <w:b w:val="0"/>
          <w:sz w:val="20"/>
        </w:rPr>
      </w:pPr>
      <w:r w:rsidRPr="00670123">
        <w:rPr>
          <w:b w:val="0"/>
          <w:sz w:val="20"/>
        </w:rPr>
        <w:t>On top of LBE and FBE operation modes already defined</w:t>
      </w:r>
      <w:r w:rsidR="00D722E2" w:rsidRPr="00670123">
        <w:rPr>
          <w:b w:val="0"/>
          <w:sz w:val="20"/>
        </w:rPr>
        <w:t xml:space="preserve"> for 5GHz band</w:t>
      </w:r>
      <w:r w:rsidRPr="00670123">
        <w:rPr>
          <w:b w:val="0"/>
          <w:sz w:val="20"/>
        </w:rPr>
        <w:t xml:space="preserve">, </w:t>
      </w:r>
      <w:r w:rsidR="00D722E2" w:rsidRPr="00670123">
        <w:rPr>
          <w:b w:val="0"/>
          <w:sz w:val="20"/>
        </w:rPr>
        <w:t>for a green-field band, it is possible to introduce other mode</w:t>
      </w:r>
      <w:r w:rsidR="00670123" w:rsidRPr="00670123">
        <w:rPr>
          <w:b w:val="0"/>
          <w:sz w:val="20"/>
        </w:rPr>
        <w:t xml:space="preserve">s of spectrum sharing to achieve higher sharing efficiency. One area worth further consideration is synchronized sharing, where the nodes will follow a common time grid for contention and data transmission. By introduce this time synchronization, it is possible to greatly reduce the hidden node </w:t>
      </w:r>
      <w:r w:rsidR="00670123">
        <w:rPr>
          <w:b w:val="0"/>
          <w:sz w:val="20"/>
        </w:rPr>
        <w:t>problem and deafness problem (a node is not monitoring the channel for channel reservation signals when transmitting itself).</w:t>
      </w:r>
    </w:p>
    <w:p w14:paraId="53FBC49D" w14:textId="62285B34" w:rsidR="00670123" w:rsidRDefault="00670123" w:rsidP="00601374">
      <w:pPr>
        <w:pStyle w:val="LGTdoc1"/>
        <w:kinsoku w:val="0"/>
        <w:overflowPunct w:val="0"/>
        <w:spacing w:beforeLines="0" w:before="120" w:after="0" w:afterAutospacing="0"/>
        <w:rPr>
          <w:sz w:val="20"/>
        </w:rPr>
      </w:pPr>
      <w:bookmarkStart w:id="7" w:name="p3"/>
      <w:r w:rsidRPr="006C212E">
        <w:rPr>
          <w:sz w:val="20"/>
        </w:rPr>
        <w:t xml:space="preserve">Proposal </w:t>
      </w:r>
      <w:r w:rsidRPr="006C212E">
        <w:rPr>
          <w:sz w:val="20"/>
        </w:rPr>
        <w:fldChar w:fldCharType="begin"/>
      </w:r>
      <w:r w:rsidRPr="006C212E">
        <w:rPr>
          <w:sz w:val="20"/>
        </w:rPr>
        <w:instrText xml:space="preserve"> seq prop </w:instrText>
      </w:r>
      <w:r w:rsidRPr="006C212E">
        <w:rPr>
          <w:sz w:val="20"/>
        </w:rPr>
        <w:fldChar w:fldCharType="separate"/>
      </w:r>
      <w:r w:rsidR="0075101C">
        <w:rPr>
          <w:noProof/>
          <w:sz w:val="20"/>
        </w:rPr>
        <w:t>3</w:t>
      </w:r>
      <w:r w:rsidRPr="006C212E">
        <w:rPr>
          <w:sz w:val="20"/>
        </w:rPr>
        <w:fldChar w:fldCharType="end"/>
      </w:r>
      <w:r>
        <w:rPr>
          <w:sz w:val="20"/>
        </w:rPr>
        <w:t>:</w:t>
      </w:r>
      <w:r w:rsidRPr="006C212E">
        <w:rPr>
          <w:sz w:val="20"/>
        </w:rPr>
        <w:t xml:space="preserve"> </w:t>
      </w:r>
      <w:r>
        <w:rPr>
          <w:sz w:val="20"/>
        </w:rPr>
        <w:t>Consider synchronized sharing schemes for green field unlicensed/shared band</w:t>
      </w:r>
    </w:p>
    <w:bookmarkEnd w:id="7"/>
    <w:p w14:paraId="338C879E" w14:textId="16940608" w:rsidR="00B559A2" w:rsidRDefault="00FD335A" w:rsidP="00601374">
      <w:pPr>
        <w:pStyle w:val="Heading1"/>
        <w:kinsoku w:val="0"/>
        <w:spacing w:after="0"/>
      </w:pPr>
      <w:r>
        <w:t>T</w:t>
      </w:r>
      <w:r w:rsidR="002F37E8">
        <w:t>x</w:t>
      </w:r>
      <w:r>
        <w:t>OP</w:t>
      </w:r>
      <w:r w:rsidR="002F37E8">
        <w:t xml:space="preserve"> Structure</w:t>
      </w:r>
      <w:r w:rsidR="00B45132">
        <w:t xml:space="preserve"> for LBE</w:t>
      </w:r>
    </w:p>
    <w:p w14:paraId="76E0AD8A" w14:textId="5A6D3881" w:rsidR="00FD335A" w:rsidRDefault="008708FE" w:rsidP="00601374">
      <w:pPr>
        <w:pStyle w:val="LGTdoc1"/>
        <w:kinsoku w:val="0"/>
        <w:overflowPunct w:val="0"/>
        <w:spacing w:beforeLines="0" w:before="120" w:after="0" w:afterAutospacing="0"/>
        <w:rPr>
          <w:b w:val="0"/>
          <w:sz w:val="20"/>
        </w:rPr>
      </w:pPr>
      <w:r>
        <w:rPr>
          <w:b w:val="0"/>
          <w:sz w:val="20"/>
        </w:rPr>
        <w:t>As described in the previous section, t</w:t>
      </w:r>
      <w:r w:rsidRPr="0099677A">
        <w:rPr>
          <w:b w:val="0"/>
          <w:sz w:val="20"/>
        </w:rPr>
        <w:t xml:space="preserve">ypical </w:t>
      </w:r>
      <w:r w:rsidR="00FD335A" w:rsidRPr="0099677A">
        <w:rPr>
          <w:b w:val="0"/>
          <w:sz w:val="20"/>
        </w:rPr>
        <w:t xml:space="preserve">channel access procedure in unlicensed spectrum starts with an LBT procedure where the node determines if the channel is busy or idle. If the channel is found </w:t>
      </w:r>
      <w:r w:rsidR="00D4232E" w:rsidRPr="0099677A">
        <w:rPr>
          <w:b w:val="0"/>
          <w:sz w:val="20"/>
        </w:rPr>
        <w:t>to be idle, a contention step follows which typically involves the node monitoring the channel for a period of time based on a random back</w:t>
      </w:r>
      <w:r w:rsidR="002E550B" w:rsidRPr="0099677A">
        <w:rPr>
          <w:b w:val="0"/>
          <w:sz w:val="20"/>
        </w:rPr>
        <w:t>-</w:t>
      </w:r>
      <w:r w:rsidR="00D4232E" w:rsidRPr="0099677A">
        <w:rPr>
          <w:b w:val="0"/>
          <w:sz w:val="20"/>
        </w:rPr>
        <w:t>off within a contention window</w:t>
      </w:r>
      <w:r w:rsidR="002E550B" w:rsidRPr="0099677A">
        <w:rPr>
          <w:b w:val="0"/>
          <w:sz w:val="20"/>
        </w:rPr>
        <w:t>,</w:t>
      </w:r>
      <w:r w:rsidR="00D4232E" w:rsidRPr="0099677A">
        <w:rPr>
          <w:b w:val="0"/>
          <w:sz w:val="20"/>
        </w:rPr>
        <w:t xml:space="preserve"> and if the medium is idle the node is allowed to use the medium. Once it gets access to the medium, the node is allowed to transmit for a maximum period of time based on the traffic type (QCI) called</w:t>
      </w:r>
      <w:r w:rsidR="003613DF" w:rsidRPr="0099677A">
        <w:rPr>
          <w:b w:val="0"/>
          <w:sz w:val="20"/>
        </w:rPr>
        <w:t xml:space="preserve"> maximum channel occupancy time (MCOT)</w:t>
      </w:r>
      <w:r w:rsidR="00D4232E" w:rsidRPr="0099677A">
        <w:rPr>
          <w:b w:val="0"/>
          <w:sz w:val="20"/>
        </w:rPr>
        <w:t xml:space="preserve">. The MCOT </w:t>
      </w:r>
      <w:r w:rsidR="002E550B" w:rsidRPr="0099677A">
        <w:rPr>
          <w:b w:val="0"/>
          <w:sz w:val="20"/>
        </w:rPr>
        <w:t>is</w:t>
      </w:r>
      <w:r w:rsidR="00D4232E" w:rsidRPr="0099677A">
        <w:rPr>
          <w:b w:val="0"/>
          <w:sz w:val="20"/>
        </w:rPr>
        <w:t xml:space="preserve"> part of the regulatory rules.</w:t>
      </w:r>
      <w:r w:rsidR="002F37E8" w:rsidRPr="0099677A">
        <w:rPr>
          <w:b w:val="0"/>
          <w:sz w:val="20"/>
        </w:rPr>
        <w:t xml:space="preserve"> The node may however choose to reserve/use a portion smaller than the MCOT for its communications. This period of time where the node gains right to access the medium is referred to as the TxOP (transmission opportunity)</w:t>
      </w:r>
      <w:r w:rsidR="00232635" w:rsidRPr="0099677A">
        <w:rPr>
          <w:b w:val="0"/>
          <w:sz w:val="20"/>
        </w:rPr>
        <w:t>.</w:t>
      </w:r>
    </w:p>
    <w:p w14:paraId="2B1D9D68" w14:textId="79E76212" w:rsidR="00EF639A" w:rsidRDefault="00EF639A" w:rsidP="00601374">
      <w:pPr>
        <w:pStyle w:val="LGTdoc1"/>
        <w:kinsoku w:val="0"/>
        <w:overflowPunct w:val="0"/>
        <w:spacing w:beforeLines="0" w:before="120" w:after="0" w:afterAutospacing="0"/>
        <w:rPr>
          <w:b w:val="0"/>
          <w:sz w:val="20"/>
        </w:rPr>
      </w:pPr>
      <w:r>
        <w:rPr>
          <w:b w:val="0"/>
          <w:sz w:val="20"/>
        </w:rPr>
        <w:t>In RAN1#93 the following was agreed with respect to the TxOP structure</w:t>
      </w:r>
      <w:bookmarkStart w:id="8" w:name="_Hlk521333220"/>
    </w:p>
    <w:p w14:paraId="69FF0A4B" w14:textId="77777777" w:rsidR="00EF639A" w:rsidRPr="00590F5D" w:rsidRDefault="00EF639A" w:rsidP="00601374">
      <w:pPr>
        <w:numPr>
          <w:ilvl w:val="0"/>
          <w:numId w:val="27"/>
        </w:numPr>
        <w:kinsoku w:val="0"/>
        <w:wordWrap/>
        <w:overflowPunct w:val="0"/>
        <w:autoSpaceDE/>
        <w:autoSpaceDN/>
        <w:rPr>
          <w:rFonts w:ascii="Times New Roman"/>
          <w:lang w:val="en-GB"/>
        </w:rPr>
      </w:pPr>
      <w:r w:rsidRPr="00590F5D">
        <w:rPr>
          <w:rFonts w:ascii="Times New Roman"/>
        </w:rPr>
        <w:t>Single and multiple DL to UL and UL to DL switching within a shared gNB COT is identified to be beneficial and can be supported</w:t>
      </w:r>
    </w:p>
    <w:p w14:paraId="783ADE9F" w14:textId="77777777" w:rsidR="00EF639A" w:rsidRPr="00590F5D" w:rsidRDefault="00EF639A" w:rsidP="00601374">
      <w:pPr>
        <w:numPr>
          <w:ilvl w:val="1"/>
          <w:numId w:val="27"/>
        </w:numPr>
        <w:tabs>
          <w:tab w:val="clear" w:pos="1440"/>
        </w:tabs>
        <w:kinsoku w:val="0"/>
        <w:wordWrap/>
        <w:overflowPunct w:val="0"/>
        <w:autoSpaceDE/>
        <w:autoSpaceDN/>
        <w:rPr>
          <w:rFonts w:ascii="Times New Roman"/>
        </w:rPr>
      </w:pPr>
      <w:r w:rsidRPr="00590F5D">
        <w:rPr>
          <w:rFonts w:ascii="Times New Roman"/>
        </w:rPr>
        <w:t>LBT requirements to support single or multiple switching points, include</w:t>
      </w:r>
    </w:p>
    <w:p w14:paraId="057B71E0"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less than 16us: no-LBT can be used </w:t>
      </w:r>
    </w:p>
    <w:p w14:paraId="6BCC5871"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no-LBT option can be used will be further identified, in consideration of fair coexistence. </w:t>
      </w:r>
    </w:p>
    <w:p w14:paraId="1969DE7D"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gap of above 16us but does not exceed 25us: one-shot LBT can be used </w:t>
      </w:r>
    </w:p>
    <w:p w14:paraId="0D892992"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Restrictions/conditions on when one-shot LBT option can be used will be further identified, in consideration of fair coexistence. </w:t>
      </w:r>
    </w:p>
    <w:p w14:paraId="620C7671"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 xml:space="preserve">For single switching point, for the gap from DL transmission to UL transmission exceeds 25us: one-shot LBT is used </w:t>
      </w:r>
    </w:p>
    <w:p w14:paraId="1328B3EE" w14:textId="77777777" w:rsidR="00EF639A" w:rsidRPr="00590F5D" w:rsidRDefault="00EF639A" w:rsidP="00601374">
      <w:pPr>
        <w:numPr>
          <w:ilvl w:val="3"/>
          <w:numId w:val="31"/>
        </w:numPr>
        <w:kinsoku w:val="0"/>
        <w:wordWrap/>
        <w:overflowPunct w:val="0"/>
        <w:autoSpaceDE/>
        <w:autoSpaceDN/>
        <w:rPr>
          <w:rFonts w:ascii="Times New Roman"/>
          <w:lang w:val="en-GB"/>
        </w:rPr>
      </w:pPr>
      <w:r w:rsidRPr="00590F5D">
        <w:rPr>
          <w:rFonts w:ascii="Times New Roman"/>
          <w:lang w:val="en-GB"/>
        </w:rPr>
        <w:t xml:space="preserve">Further study needed on how many one-shot LBT attempts is allowed for granted UL transmission </w:t>
      </w:r>
    </w:p>
    <w:p w14:paraId="1B8B7400" w14:textId="77777777" w:rsidR="00EF639A" w:rsidRPr="00590F5D" w:rsidRDefault="00EF639A" w:rsidP="00601374">
      <w:pPr>
        <w:numPr>
          <w:ilvl w:val="2"/>
          <w:numId w:val="31"/>
        </w:numPr>
        <w:kinsoku w:val="0"/>
        <w:wordWrap/>
        <w:overflowPunct w:val="0"/>
        <w:autoSpaceDE/>
        <w:autoSpaceDN/>
        <w:rPr>
          <w:rFonts w:ascii="Times New Roman"/>
          <w:lang w:val="en-GB"/>
        </w:rPr>
      </w:pPr>
      <w:r w:rsidRPr="00590F5D">
        <w:rPr>
          <w:rFonts w:ascii="Times New Roman"/>
          <w:lang w:val="en-GB"/>
        </w:rPr>
        <w:t>FFS: For multiple switching points, for the gap from DL transmission to UL transmission exceeds 25us, one-shot LBT is used. Regulations for this option.</w:t>
      </w:r>
    </w:p>
    <w:bookmarkEnd w:id="8"/>
    <w:p w14:paraId="737D0507" w14:textId="3EF7D130" w:rsidR="00026061" w:rsidRPr="0099677A" w:rsidRDefault="000E516B" w:rsidP="00601374">
      <w:pPr>
        <w:pStyle w:val="LGTdoc1"/>
        <w:kinsoku w:val="0"/>
        <w:overflowPunct w:val="0"/>
        <w:spacing w:beforeLines="0" w:before="120" w:after="0" w:afterAutospacing="0"/>
        <w:rPr>
          <w:b w:val="0"/>
          <w:sz w:val="20"/>
        </w:rPr>
      </w:pPr>
      <w:r>
        <w:rPr>
          <w:b w:val="0"/>
          <w:sz w:val="20"/>
        </w:rPr>
        <w:t>LTE-LAA allowed only one switching point in the</w:t>
      </w:r>
      <w:r w:rsidR="00026061">
        <w:rPr>
          <w:b w:val="0"/>
          <w:sz w:val="20"/>
        </w:rPr>
        <w:t xml:space="preserve"> TxOP. Having multiple switching points in the TxOP together with the faster processing capabilities that NR offers enables the systems to benefit from a host of techniques. For example, it allows introducing channel usage indicator signals which can help </w:t>
      </w:r>
      <w:r w:rsidR="00814CFC">
        <w:rPr>
          <w:b w:val="0"/>
          <w:sz w:val="20"/>
        </w:rPr>
        <w:t>alleviate</w:t>
      </w:r>
      <w:r w:rsidR="00026061">
        <w:rPr>
          <w:b w:val="0"/>
          <w:sz w:val="20"/>
        </w:rPr>
        <w:t xml:space="preserve"> some of the problems associated with hidden nodes. It allows fast C</w:t>
      </w:r>
      <w:r w:rsidR="00814CFC">
        <w:rPr>
          <w:b w:val="0"/>
          <w:sz w:val="20"/>
        </w:rPr>
        <w:t>S</w:t>
      </w:r>
      <w:r w:rsidR="00026061">
        <w:rPr>
          <w:b w:val="0"/>
          <w:sz w:val="20"/>
        </w:rPr>
        <w:t>I exchange between gNB and UE before the data transmission allowing better rate contro</w:t>
      </w:r>
      <w:r w:rsidR="004E45A4">
        <w:rPr>
          <w:b w:val="0"/>
          <w:sz w:val="20"/>
        </w:rPr>
        <w:t>l</w:t>
      </w:r>
      <w:r w:rsidR="00026061">
        <w:rPr>
          <w:b w:val="0"/>
          <w:sz w:val="20"/>
        </w:rPr>
        <w:t>. It also allows gNB to change UL MCS etc between different UL PUSCH based on past received PUSCH. Some of these benefits are discussed in the following subsections.</w:t>
      </w:r>
    </w:p>
    <w:p w14:paraId="5E682391" w14:textId="6152D822" w:rsidR="00232635" w:rsidRDefault="00A0191B" w:rsidP="00601374">
      <w:pPr>
        <w:pStyle w:val="Heading2"/>
        <w:kinsoku w:val="0"/>
      </w:pPr>
      <w:r>
        <w:t>4</w:t>
      </w:r>
      <w:r w:rsidR="00522BEB">
        <w:t>.1</w:t>
      </w:r>
      <w:r w:rsidR="00522BEB">
        <w:tab/>
      </w:r>
      <w:r w:rsidR="00232635" w:rsidRPr="003520EB">
        <w:t>Channel</w:t>
      </w:r>
      <w:r w:rsidR="00232635" w:rsidRPr="00232635">
        <w:t xml:space="preserve"> </w:t>
      </w:r>
      <w:r w:rsidR="00B858AE">
        <w:t>Usage Indication</w:t>
      </w:r>
    </w:p>
    <w:p w14:paraId="7346207E" w14:textId="69A62AC4" w:rsidR="00726473" w:rsidRPr="0099677A" w:rsidRDefault="00D26A8E" w:rsidP="00601374">
      <w:pPr>
        <w:pStyle w:val="LGTdoc1"/>
        <w:kinsoku w:val="0"/>
        <w:overflowPunct w:val="0"/>
        <w:spacing w:beforeLines="0" w:before="120" w:after="0" w:afterAutospacing="0"/>
        <w:rPr>
          <w:b w:val="0"/>
          <w:sz w:val="20"/>
        </w:rPr>
      </w:pPr>
      <w:r w:rsidRPr="0099677A">
        <w:rPr>
          <w:b w:val="0"/>
          <w:sz w:val="20"/>
        </w:rPr>
        <w:t xml:space="preserve">Consider a “hidden-node” scenario shown in </w:t>
      </w:r>
      <w:r w:rsidR="004E1B19">
        <w:rPr>
          <w:b w:val="0"/>
          <w:sz w:val="20"/>
        </w:rPr>
        <w:fldChar w:fldCharType="begin"/>
      </w:r>
      <w:r w:rsidR="004E1B19">
        <w:rPr>
          <w:b w:val="0"/>
          <w:sz w:val="20"/>
        </w:rPr>
        <w:instrText xml:space="preserve"> REF _Ref513643329  \* MERGEFORMAT </w:instrText>
      </w:r>
      <w:r w:rsidR="004E1B19">
        <w:rPr>
          <w:b w:val="0"/>
          <w:sz w:val="20"/>
        </w:rPr>
        <w:fldChar w:fldCharType="separate"/>
      </w:r>
      <w:r w:rsidR="0075101C" w:rsidRPr="0075101C">
        <w:rPr>
          <w:b w:val="0"/>
          <w:sz w:val="20"/>
        </w:rPr>
        <w:t xml:space="preserve">Figure </w:t>
      </w:r>
      <w:r w:rsidR="0075101C" w:rsidRPr="0075101C">
        <w:rPr>
          <w:b w:val="0"/>
          <w:sz w:val="20"/>
        </w:rPr>
        <w:t>2</w:t>
      </w:r>
      <w:r w:rsidR="004E1B19">
        <w:rPr>
          <w:b w:val="0"/>
          <w:sz w:val="20"/>
        </w:rPr>
        <w:fldChar w:fldCharType="end"/>
      </w:r>
      <w:r w:rsidRPr="0099677A">
        <w:rPr>
          <w:b w:val="0"/>
          <w:sz w:val="20"/>
        </w:rPr>
        <w:t>. UE1 sees strong signal f</w:t>
      </w:r>
      <w:r w:rsidR="00E53842" w:rsidRPr="0099677A">
        <w:rPr>
          <w:b w:val="0"/>
          <w:sz w:val="20"/>
        </w:rPr>
        <w:t>ro</w:t>
      </w:r>
      <w:r w:rsidRPr="0099677A">
        <w:rPr>
          <w:b w:val="0"/>
          <w:sz w:val="20"/>
        </w:rPr>
        <w:t xml:space="preserve">m its gNB1 and from a </w:t>
      </w:r>
      <w:r w:rsidR="00D63F7E" w:rsidRPr="0099677A">
        <w:rPr>
          <w:b w:val="0"/>
          <w:sz w:val="20"/>
        </w:rPr>
        <w:t>neighbouring</w:t>
      </w:r>
      <w:r w:rsidRPr="0099677A">
        <w:rPr>
          <w:b w:val="0"/>
          <w:sz w:val="20"/>
        </w:rPr>
        <w:t xml:space="preserve"> user (UE2) but gNB1 </w:t>
      </w:r>
      <w:r w:rsidR="001D3F02" w:rsidRPr="0099677A">
        <w:rPr>
          <w:b w:val="0"/>
          <w:sz w:val="20"/>
        </w:rPr>
        <w:t>can’t</w:t>
      </w:r>
      <w:r w:rsidRPr="0099677A">
        <w:rPr>
          <w:b w:val="0"/>
          <w:sz w:val="20"/>
        </w:rPr>
        <w:t xml:space="preserve"> hear UE2</w:t>
      </w:r>
      <w:r w:rsidR="001D3F02" w:rsidRPr="0099677A">
        <w:rPr>
          <w:b w:val="0"/>
          <w:sz w:val="20"/>
        </w:rPr>
        <w:t xml:space="preserve"> and vice versa</w:t>
      </w:r>
      <w:r w:rsidRPr="0099677A">
        <w:rPr>
          <w:b w:val="0"/>
          <w:sz w:val="20"/>
        </w:rPr>
        <w:t xml:space="preserve">. </w:t>
      </w:r>
      <w:r w:rsidR="00B83423" w:rsidRPr="0099677A">
        <w:rPr>
          <w:b w:val="0"/>
          <w:sz w:val="20"/>
        </w:rPr>
        <w:t>Furthermore, i</w:t>
      </w:r>
      <w:r w:rsidRPr="0099677A">
        <w:rPr>
          <w:b w:val="0"/>
          <w:sz w:val="20"/>
        </w:rPr>
        <w:t>n this scenario</w:t>
      </w:r>
      <w:r w:rsidR="00B83423" w:rsidRPr="0099677A">
        <w:rPr>
          <w:b w:val="0"/>
          <w:sz w:val="20"/>
        </w:rPr>
        <w:t>,</w:t>
      </w:r>
      <w:r w:rsidRPr="0099677A">
        <w:rPr>
          <w:b w:val="0"/>
          <w:sz w:val="20"/>
        </w:rPr>
        <w:t xml:space="preserve"> gNB1 wishes to send data to UE1 while UE2 </w:t>
      </w:r>
      <w:r w:rsidR="00BB6420" w:rsidRPr="0099677A">
        <w:rPr>
          <w:b w:val="0"/>
          <w:sz w:val="20"/>
        </w:rPr>
        <w:t>wishes to</w:t>
      </w:r>
      <w:r w:rsidRPr="0099677A">
        <w:rPr>
          <w:b w:val="0"/>
          <w:sz w:val="20"/>
        </w:rPr>
        <w:t xml:space="preserve"> transmit data to gNB2. Since gNB1 doesn’t detect UE2</w:t>
      </w:r>
      <w:r w:rsidR="00FA2D11">
        <w:rPr>
          <w:b w:val="0"/>
          <w:sz w:val="20"/>
        </w:rPr>
        <w:t>’s</w:t>
      </w:r>
      <w:r w:rsidRPr="0099677A">
        <w:rPr>
          <w:b w:val="0"/>
          <w:sz w:val="20"/>
        </w:rPr>
        <w:t xml:space="preserve"> transmission, its LBT procedure may </w:t>
      </w:r>
      <w:r w:rsidRPr="0099677A">
        <w:rPr>
          <w:b w:val="0"/>
          <w:sz w:val="20"/>
        </w:rPr>
        <w:lastRenderedPageBreak/>
        <w:t>succeed. Howev</w:t>
      </w:r>
      <w:r w:rsidR="00AC38D4">
        <w:rPr>
          <w:b w:val="0"/>
          <w:sz w:val="20"/>
        </w:rPr>
        <w:t>er, the data transmission to UE1</w:t>
      </w:r>
      <w:r w:rsidRPr="0099677A">
        <w:rPr>
          <w:b w:val="0"/>
          <w:sz w:val="20"/>
        </w:rPr>
        <w:t xml:space="preserve"> would fail leading to wasted resources and increased interference in the network. </w:t>
      </w:r>
      <w:r w:rsidR="00465BDF" w:rsidRPr="0099677A">
        <w:rPr>
          <w:b w:val="0"/>
          <w:sz w:val="20"/>
        </w:rPr>
        <w:t>Similarly</w:t>
      </w:r>
      <w:r w:rsidR="00D63F7E" w:rsidRPr="0099677A">
        <w:rPr>
          <w:b w:val="0"/>
          <w:sz w:val="20"/>
        </w:rPr>
        <w:t>,</w:t>
      </w:r>
      <w:r w:rsidR="00465BDF" w:rsidRPr="0099677A">
        <w:rPr>
          <w:b w:val="0"/>
          <w:sz w:val="20"/>
        </w:rPr>
        <w:t xml:space="preserve"> since UE2 may not detect gNB1</w:t>
      </w:r>
      <w:r w:rsidR="00FA2D11">
        <w:rPr>
          <w:b w:val="0"/>
          <w:sz w:val="20"/>
        </w:rPr>
        <w:t>’s</w:t>
      </w:r>
      <w:r w:rsidR="00465BDF" w:rsidRPr="0099677A">
        <w:rPr>
          <w:b w:val="0"/>
          <w:sz w:val="20"/>
        </w:rPr>
        <w:t xml:space="preserve"> transmissions</w:t>
      </w:r>
      <w:r w:rsidR="00FA2D11">
        <w:rPr>
          <w:b w:val="0"/>
          <w:sz w:val="20"/>
        </w:rPr>
        <w:t>,</w:t>
      </w:r>
      <w:r w:rsidR="00465BDF" w:rsidRPr="0099677A">
        <w:rPr>
          <w:b w:val="0"/>
          <w:sz w:val="20"/>
        </w:rPr>
        <w:t xml:space="preserve"> it may start transmission even though UE1 </w:t>
      </w:r>
      <w:r w:rsidR="00BB6420" w:rsidRPr="0099677A">
        <w:rPr>
          <w:b w:val="0"/>
          <w:sz w:val="20"/>
        </w:rPr>
        <w:t xml:space="preserve">may </w:t>
      </w:r>
      <w:r w:rsidR="00465BDF" w:rsidRPr="0099677A">
        <w:rPr>
          <w:b w:val="0"/>
          <w:sz w:val="20"/>
        </w:rPr>
        <w:t>ha</w:t>
      </w:r>
      <w:r w:rsidR="00BB6420" w:rsidRPr="0099677A">
        <w:rPr>
          <w:b w:val="0"/>
          <w:sz w:val="20"/>
        </w:rPr>
        <w:t>ve</w:t>
      </w:r>
      <w:r w:rsidR="00465BDF" w:rsidRPr="0099677A">
        <w:rPr>
          <w:b w:val="0"/>
          <w:sz w:val="20"/>
        </w:rPr>
        <w:t xml:space="preserve"> already started receiving data causing UE1 reception to fail. </w:t>
      </w:r>
    </w:p>
    <w:p w14:paraId="263744F1" w14:textId="20F8B83D" w:rsidR="00674737" w:rsidRDefault="00674737" w:rsidP="00601374">
      <w:pPr>
        <w:widowControl/>
        <w:kinsoku w:val="0"/>
        <w:wordWrap/>
        <w:overflowPunct w:val="0"/>
        <w:autoSpaceDE/>
        <w:autoSpaceDN/>
        <w:jc w:val="left"/>
        <w:rPr>
          <w:rFonts w:ascii="Calibri" w:eastAsia="Times New Roman" w:hAnsi="Calibri" w:cs="Calibri"/>
          <w:color w:val="000000"/>
          <w:kern w:val="0"/>
          <w:sz w:val="22"/>
          <w:szCs w:val="22"/>
          <w:lang w:eastAsia="en-US"/>
        </w:rPr>
      </w:pPr>
    </w:p>
    <w:p w14:paraId="4BCE47DA" w14:textId="77777777" w:rsidR="009F74E3" w:rsidRDefault="009F74E3" w:rsidP="00601374">
      <w:pPr>
        <w:keepNext/>
        <w:widowControl/>
        <w:kinsoku w:val="0"/>
        <w:wordWrap/>
        <w:overflowPunct w:val="0"/>
        <w:autoSpaceDE/>
        <w:autoSpaceDN/>
        <w:jc w:val="center"/>
      </w:pPr>
      <w:r>
        <w:rPr>
          <w:rFonts w:ascii="Calibri" w:eastAsia="Times New Roman" w:hAnsi="Calibri" w:cs="Calibri"/>
          <w:color w:val="000000"/>
          <w:kern w:val="0"/>
          <w:sz w:val="22"/>
          <w:szCs w:val="22"/>
          <w:lang w:eastAsia="en-US"/>
        </w:rPr>
        <w:object w:dxaOrig="13396" w:dyaOrig="4224" w14:anchorId="16DD6A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100.5pt" o:ole="">
            <v:imagedata r:id="rId14" o:title=""/>
          </v:shape>
          <o:OLEObject Type="Embed" ProgID="Visio.Drawing.11" ShapeID="_x0000_i1025" DrawAspect="Content" ObjectID="_1602664790" r:id="rId15"/>
        </w:object>
      </w:r>
    </w:p>
    <w:p w14:paraId="00C0D182" w14:textId="1D5DA0D6" w:rsidR="00640F5E" w:rsidRDefault="009F74E3" w:rsidP="00601374">
      <w:pPr>
        <w:pStyle w:val="Caption"/>
        <w:kinsoku w:val="0"/>
        <w:spacing w:after="0"/>
        <w:jc w:val="center"/>
        <w:rPr>
          <w:rFonts w:ascii="Calibri" w:eastAsia="Times New Roman" w:hAnsi="Calibri" w:cs="Calibri"/>
          <w:color w:val="000000"/>
          <w:sz w:val="22"/>
          <w:szCs w:val="22"/>
        </w:rPr>
      </w:pPr>
      <w:bookmarkStart w:id="9" w:name="_Ref513643329"/>
      <w:r>
        <w:t xml:space="preserve">Figure </w:t>
      </w:r>
      <w:r>
        <w:fldChar w:fldCharType="begin"/>
      </w:r>
      <w:r>
        <w:instrText xml:space="preserve"> SEQ Figure \* ARABIC </w:instrText>
      </w:r>
      <w:r>
        <w:fldChar w:fldCharType="separate"/>
      </w:r>
      <w:r w:rsidR="0075101C">
        <w:rPr>
          <w:noProof/>
        </w:rPr>
        <w:t>2</w:t>
      </w:r>
      <w:r>
        <w:fldChar w:fldCharType="end"/>
      </w:r>
      <w:bookmarkEnd w:id="9"/>
      <w:r>
        <w:t>: Hidden Node Scenario</w:t>
      </w:r>
    </w:p>
    <w:p w14:paraId="234D16FC" w14:textId="66BD2667" w:rsidR="00D26A8E" w:rsidRPr="0099677A" w:rsidRDefault="009F74E3" w:rsidP="00601374">
      <w:pPr>
        <w:pStyle w:val="LGTdoc1"/>
        <w:kinsoku w:val="0"/>
        <w:overflowPunct w:val="0"/>
        <w:spacing w:beforeLines="0" w:before="120" w:after="0" w:afterAutospacing="0"/>
        <w:rPr>
          <w:b w:val="0"/>
          <w:sz w:val="20"/>
        </w:rPr>
      </w:pPr>
      <w:r w:rsidRPr="0099677A">
        <w:rPr>
          <w:b w:val="0"/>
          <w:sz w:val="20"/>
        </w:rPr>
        <w:t>The interference issues in s</w:t>
      </w:r>
      <w:r w:rsidR="00465BDF" w:rsidRPr="0099677A">
        <w:rPr>
          <w:b w:val="0"/>
          <w:sz w:val="20"/>
        </w:rPr>
        <w:t xml:space="preserve">uch scenarios can be </w:t>
      </w:r>
      <w:r w:rsidRPr="0099677A">
        <w:rPr>
          <w:b w:val="0"/>
          <w:sz w:val="20"/>
        </w:rPr>
        <w:t>mitigated</w:t>
      </w:r>
      <w:r w:rsidR="00465BDF" w:rsidRPr="0099677A">
        <w:rPr>
          <w:b w:val="0"/>
          <w:sz w:val="20"/>
        </w:rPr>
        <w:t xml:space="preserve"> by using channel </w:t>
      </w:r>
      <w:r w:rsidR="007D10DE" w:rsidRPr="0099677A">
        <w:rPr>
          <w:b w:val="0"/>
          <w:sz w:val="20"/>
        </w:rPr>
        <w:t xml:space="preserve">usage indicator </w:t>
      </w:r>
      <w:r w:rsidR="00465BDF" w:rsidRPr="0099677A">
        <w:rPr>
          <w:b w:val="0"/>
          <w:sz w:val="20"/>
        </w:rPr>
        <w:t xml:space="preserve">signals such as </w:t>
      </w:r>
      <w:r w:rsidRPr="0099677A">
        <w:rPr>
          <w:b w:val="0"/>
          <w:sz w:val="20"/>
        </w:rPr>
        <w:t xml:space="preserve">using the </w:t>
      </w:r>
      <w:r w:rsidR="00674737" w:rsidRPr="0099677A">
        <w:rPr>
          <w:b w:val="0"/>
          <w:sz w:val="20"/>
        </w:rPr>
        <w:t>protocol</w:t>
      </w:r>
      <w:r w:rsidRPr="0099677A">
        <w:rPr>
          <w:b w:val="0"/>
          <w:sz w:val="20"/>
        </w:rPr>
        <w:t xml:space="preserve"> described</w:t>
      </w:r>
      <w:r w:rsidR="00674737" w:rsidRPr="0099677A">
        <w:rPr>
          <w:b w:val="0"/>
          <w:sz w:val="20"/>
        </w:rPr>
        <w:t xml:space="preserve"> below</w:t>
      </w:r>
      <w:r w:rsidR="000A6F35">
        <w:rPr>
          <w:b w:val="0"/>
          <w:sz w:val="20"/>
        </w:rPr>
        <w:t xml:space="preserve"> (see </w:t>
      </w:r>
      <w:r w:rsidR="000A6F35">
        <w:rPr>
          <w:b w:val="0"/>
          <w:sz w:val="20"/>
        </w:rPr>
        <w:fldChar w:fldCharType="begin"/>
      </w:r>
      <w:r w:rsidR="000A6F35">
        <w:rPr>
          <w:b w:val="0"/>
          <w:sz w:val="20"/>
        </w:rPr>
        <w:instrText xml:space="preserve"> REF _Ref521331273 \h  \* MERGEFORMAT </w:instrText>
      </w:r>
      <w:r w:rsidR="000A6F35">
        <w:rPr>
          <w:b w:val="0"/>
          <w:sz w:val="20"/>
        </w:rPr>
      </w:r>
      <w:r w:rsidR="000A6F35">
        <w:rPr>
          <w:b w:val="0"/>
          <w:sz w:val="20"/>
        </w:rPr>
        <w:fldChar w:fldCharType="separate"/>
      </w:r>
      <w:r w:rsidR="0075101C" w:rsidRPr="0075101C">
        <w:rPr>
          <w:b w:val="0"/>
          <w:sz w:val="20"/>
        </w:rPr>
        <w:t xml:space="preserve">Figure </w:t>
      </w:r>
      <w:r w:rsidR="0075101C" w:rsidRPr="0075101C">
        <w:rPr>
          <w:b w:val="0"/>
          <w:sz w:val="20"/>
        </w:rPr>
        <w:t>3</w:t>
      </w:r>
      <w:r w:rsidR="000A6F35">
        <w:rPr>
          <w:b w:val="0"/>
          <w:sz w:val="20"/>
        </w:rPr>
        <w:fldChar w:fldCharType="end"/>
      </w:r>
      <w:r w:rsidR="000A6F35">
        <w:rPr>
          <w:b w:val="0"/>
          <w:sz w:val="20"/>
        </w:rPr>
        <w:t>)</w:t>
      </w:r>
      <w:r w:rsidR="00674737" w:rsidRPr="0099677A">
        <w:rPr>
          <w:b w:val="0"/>
          <w:sz w:val="20"/>
        </w:rPr>
        <w:t>:</w:t>
      </w:r>
    </w:p>
    <w:p w14:paraId="7AE510BC" w14:textId="505FEE0A" w:rsidR="00D26A8E" w:rsidRPr="0099677A" w:rsidRDefault="00D26A8E" w:rsidP="00601374">
      <w:pPr>
        <w:pStyle w:val="LGTdoc1"/>
        <w:numPr>
          <w:ilvl w:val="0"/>
          <w:numId w:val="24"/>
        </w:numPr>
        <w:kinsoku w:val="0"/>
        <w:overflowPunct w:val="0"/>
        <w:spacing w:beforeLines="0" w:before="120" w:after="0" w:afterAutospacing="0"/>
        <w:rPr>
          <w:b w:val="0"/>
          <w:sz w:val="20"/>
        </w:rPr>
      </w:pPr>
      <w:r w:rsidRPr="0099677A">
        <w:rPr>
          <w:b w:val="0"/>
          <w:sz w:val="20"/>
        </w:rPr>
        <w:t>Each</w:t>
      </w:r>
      <w:r w:rsidR="00465BDF" w:rsidRPr="0099677A">
        <w:rPr>
          <w:b w:val="0"/>
          <w:sz w:val="20"/>
        </w:rPr>
        <w:t xml:space="preserve"> node</w:t>
      </w:r>
      <w:r w:rsidR="00674737" w:rsidRPr="0099677A">
        <w:rPr>
          <w:b w:val="0"/>
          <w:sz w:val="20"/>
        </w:rPr>
        <w:t xml:space="preserve"> </w:t>
      </w:r>
      <w:r w:rsidR="004A11BD" w:rsidRPr="0099677A">
        <w:rPr>
          <w:b w:val="0"/>
          <w:sz w:val="20"/>
        </w:rPr>
        <w:t xml:space="preserve">wishing to transmit </w:t>
      </w:r>
      <w:r w:rsidR="00674737" w:rsidRPr="0099677A">
        <w:rPr>
          <w:b w:val="0"/>
          <w:sz w:val="20"/>
        </w:rPr>
        <w:t>(e.g. gNB1)</w:t>
      </w:r>
      <w:r w:rsidR="00465BDF" w:rsidRPr="0099677A">
        <w:rPr>
          <w:b w:val="0"/>
          <w:sz w:val="20"/>
        </w:rPr>
        <w:t xml:space="preserve"> transmits </w:t>
      </w:r>
      <w:r w:rsidR="007D10DE" w:rsidRPr="0099677A">
        <w:rPr>
          <w:b w:val="0"/>
          <w:sz w:val="20"/>
        </w:rPr>
        <w:t>channel usage indicator for transmission (CUI-T)</w:t>
      </w:r>
      <w:r w:rsidRPr="0099677A">
        <w:rPr>
          <w:b w:val="0"/>
          <w:sz w:val="20"/>
        </w:rPr>
        <w:t xml:space="preserve"> prior to its data transmission</w:t>
      </w:r>
    </w:p>
    <w:p w14:paraId="4E2998D0" w14:textId="6BDB86A3" w:rsidR="00465BDF" w:rsidRPr="0099677A" w:rsidRDefault="00D26A8E" w:rsidP="00601374">
      <w:pPr>
        <w:pStyle w:val="LGTdoc1"/>
        <w:numPr>
          <w:ilvl w:val="0"/>
          <w:numId w:val="24"/>
        </w:numPr>
        <w:kinsoku w:val="0"/>
        <w:overflowPunct w:val="0"/>
        <w:spacing w:beforeLines="0" w:before="120" w:after="0" w:afterAutospacing="0"/>
        <w:rPr>
          <w:b w:val="0"/>
          <w:sz w:val="20"/>
        </w:rPr>
      </w:pPr>
      <w:r w:rsidRPr="0099677A">
        <w:rPr>
          <w:b w:val="0"/>
          <w:sz w:val="20"/>
        </w:rPr>
        <w:t>The intended receiver</w:t>
      </w:r>
      <w:r w:rsidR="00674737" w:rsidRPr="0099677A">
        <w:rPr>
          <w:b w:val="0"/>
          <w:sz w:val="20"/>
        </w:rPr>
        <w:t xml:space="preserve"> (e.g. UE1)</w:t>
      </w:r>
      <w:r w:rsidRPr="0099677A">
        <w:rPr>
          <w:b w:val="0"/>
          <w:sz w:val="20"/>
        </w:rPr>
        <w:t xml:space="preserve"> transmits a </w:t>
      </w:r>
      <w:r w:rsidR="007D10DE" w:rsidRPr="0099677A">
        <w:rPr>
          <w:b w:val="0"/>
          <w:sz w:val="20"/>
        </w:rPr>
        <w:t>channel usage indicator for reception (CUI-R)</w:t>
      </w:r>
      <w:r w:rsidR="00465BDF" w:rsidRPr="0099677A">
        <w:rPr>
          <w:b w:val="0"/>
          <w:sz w:val="20"/>
        </w:rPr>
        <w:t xml:space="preserve"> </w:t>
      </w:r>
      <w:r w:rsidR="007D10DE" w:rsidRPr="0099677A">
        <w:rPr>
          <w:b w:val="0"/>
          <w:sz w:val="20"/>
        </w:rPr>
        <w:t>prior to scheduled data reception.</w:t>
      </w:r>
    </w:p>
    <w:p w14:paraId="56A4BC22" w14:textId="2C183A10" w:rsidR="00D26A8E" w:rsidRPr="0099677A" w:rsidRDefault="00465BDF" w:rsidP="00601374">
      <w:pPr>
        <w:pStyle w:val="LGTdoc1"/>
        <w:numPr>
          <w:ilvl w:val="0"/>
          <w:numId w:val="24"/>
        </w:numPr>
        <w:kinsoku w:val="0"/>
        <w:overflowPunct w:val="0"/>
        <w:spacing w:beforeLines="0" w:before="120" w:after="0" w:afterAutospacing="0"/>
        <w:rPr>
          <w:b w:val="0"/>
          <w:sz w:val="20"/>
        </w:rPr>
      </w:pPr>
      <w:r w:rsidRPr="0099677A">
        <w:rPr>
          <w:b w:val="0"/>
          <w:sz w:val="20"/>
        </w:rPr>
        <w:t>Any node</w:t>
      </w:r>
      <w:r w:rsidR="00674737" w:rsidRPr="0099677A">
        <w:rPr>
          <w:b w:val="0"/>
          <w:sz w:val="20"/>
        </w:rPr>
        <w:t xml:space="preserve"> (e.g. gNB2/UE2) apart from the intended transmitter node (gNB1)</w:t>
      </w:r>
      <w:r w:rsidRPr="0099677A">
        <w:rPr>
          <w:b w:val="0"/>
          <w:sz w:val="20"/>
        </w:rPr>
        <w:t xml:space="preserve"> that receives the </w:t>
      </w:r>
      <w:r w:rsidR="007D10DE" w:rsidRPr="0099677A">
        <w:rPr>
          <w:b w:val="0"/>
          <w:sz w:val="20"/>
        </w:rPr>
        <w:t>CUI-R may withhold transmission</w:t>
      </w:r>
      <w:r w:rsidRPr="0099677A">
        <w:rPr>
          <w:b w:val="0"/>
          <w:sz w:val="20"/>
        </w:rPr>
        <w:t xml:space="preserve"> for the duration indicated by the </w:t>
      </w:r>
      <w:r w:rsidR="007D10DE" w:rsidRPr="0099677A">
        <w:rPr>
          <w:b w:val="0"/>
          <w:sz w:val="20"/>
        </w:rPr>
        <w:t>CUI-R if its transmission will lead to unacceptable interference level at the CUI-R transmitter</w:t>
      </w:r>
      <w:r w:rsidR="00674737" w:rsidRPr="0099677A">
        <w:rPr>
          <w:b w:val="0"/>
          <w:sz w:val="20"/>
        </w:rPr>
        <w:t xml:space="preserve"> (UE1)</w:t>
      </w:r>
      <w:r w:rsidRPr="0099677A">
        <w:rPr>
          <w:b w:val="0"/>
          <w:sz w:val="20"/>
        </w:rPr>
        <w:t xml:space="preserve"> </w:t>
      </w:r>
    </w:p>
    <w:p w14:paraId="4B7BD9A8" w14:textId="0DEDFC35" w:rsidR="000622F7" w:rsidRDefault="00814CFC" w:rsidP="00601374">
      <w:pPr>
        <w:pStyle w:val="LGTdoc1"/>
        <w:keepNext/>
        <w:kinsoku w:val="0"/>
        <w:overflowPunct w:val="0"/>
        <w:spacing w:beforeLines="0" w:before="120" w:after="0" w:afterAutospacing="0"/>
      </w:pPr>
      <w:r>
        <w:object w:dxaOrig="13004" w:dyaOrig="4591" w14:anchorId="52A50223">
          <v:shape id="_x0000_i1026" type="#_x0000_t75" style="width:462pt;height:162pt" o:ole="">
            <v:imagedata r:id="rId16" o:title=""/>
          </v:shape>
          <o:OLEObject Type="Embed" ProgID="Visio.Drawing.11" ShapeID="_x0000_i1026" DrawAspect="Content" ObjectID="_1602664791" r:id="rId17"/>
        </w:object>
      </w:r>
    </w:p>
    <w:p w14:paraId="5204AAC3" w14:textId="600CA4DC" w:rsidR="000622F7" w:rsidRDefault="000622F7" w:rsidP="00601374">
      <w:pPr>
        <w:pStyle w:val="Caption"/>
        <w:kinsoku w:val="0"/>
        <w:jc w:val="center"/>
        <w:rPr>
          <w:b w:val="0"/>
        </w:rPr>
      </w:pPr>
      <w:bookmarkStart w:id="10" w:name="_Ref521331273"/>
      <w:r>
        <w:t xml:space="preserve">Figure </w:t>
      </w:r>
      <w:r>
        <w:fldChar w:fldCharType="begin"/>
      </w:r>
      <w:r>
        <w:instrText xml:space="preserve"> SEQ Figure \* ARABIC </w:instrText>
      </w:r>
      <w:r>
        <w:fldChar w:fldCharType="separate"/>
      </w:r>
      <w:r w:rsidR="0075101C">
        <w:rPr>
          <w:noProof/>
        </w:rPr>
        <w:t>3</w:t>
      </w:r>
      <w:r>
        <w:fldChar w:fldCharType="end"/>
      </w:r>
      <w:bookmarkEnd w:id="10"/>
      <w:r>
        <w:t xml:space="preserve">: Mitigating </w:t>
      </w:r>
      <w:r w:rsidR="000A6F35">
        <w:t>H</w:t>
      </w:r>
      <w:r>
        <w:t xml:space="preserve">idden </w:t>
      </w:r>
      <w:r w:rsidR="000A6F35">
        <w:t>N</w:t>
      </w:r>
      <w:r>
        <w:t xml:space="preserve">ode </w:t>
      </w:r>
      <w:r w:rsidR="000A6F35">
        <w:t>I</w:t>
      </w:r>
      <w:r>
        <w:t>ssue with Channel Usage Indicat</w:t>
      </w:r>
      <w:r w:rsidR="000A6F35">
        <w:t>ion</w:t>
      </w:r>
      <w:r>
        <w:t xml:space="preserve"> </w:t>
      </w:r>
      <w:r w:rsidR="000A6F35">
        <w:t>S</w:t>
      </w:r>
      <w:r>
        <w:t>ignals</w:t>
      </w:r>
    </w:p>
    <w:p w14:paraId="71CA9CCD" w14:textId="37D27CAA" w:rsidR="00D26A8E" w:rsidRDefault="00E628ED" w:rsidP="00601374">
      <w:pPr>
        <w:pStyle w:val="LGTdoc1"/>
        <w:kinsoku w:val="0"/>
        <w:overflowPunct w:val="0"/>
        <w:spacing w:beforeLines="0" w:before="120" w:after="0" w:afterAutospacing="0"/>
        <w:rPr>
          <w:b w:val="0"/>
          <w:sz w:val="20"/>
        </w:rPr>
      </w:pPr>
      <w:r>
        <w:rPr>
          <w:b w:val="0"/>
          <w:sz w:val="20"/>
        </w:rPr>
        <w:t>Further details and performance results describing the benefits of such signalling is discussed in our companion contribution [</w:t>
      </w:r>
      <w:r w:rsidR="004633AA">
        <w:rPr>
          <w:b w:val="0"/>
          <w:sz w:val="20"/>
        </w:rPr>
        <w:t>4</w:t>
      </w:r>
      <w:r>
        <w:rPr>
          <w:b w:val="0"/>
          <w:sz w:val="20"/>
        </w:rPr>
        <w:t xml:space="preserve">]. </w:t>
      </w:r>
      <w:r w:rsidR="00674737" w:rsidRPr="0099677A">
        <w:rPr>
          <w:b w:val="0"/>
          <w:sz w:val="20"/>
        </w:rPr>
        <w:t xml:space="preserve">The </w:t>
      </w:r>
      <w:r w:rsidR="00CC3D96">
        <w:rPr>
          <w:b w:val="0"/>
          <w:sz w:val="20"/>
        </w:rPr>
        <w:t>multiple switching points</w:t>
      </w:r>
      <w:r w:rsidR="00674737" w:rsidRPr="0099677A">
        <w:rPr>
          <w:b w:val="0"/>
          <w:sz w:val="20"/>
        </w:rPr>
        <w:t xml:space="preserve"> enable extracting the benefits of such protocols.</w:t>
      </w:r>
      <w:r w:rsidR="00465BDF" w:rsidRPr="0099677A">
        <w:rPr>
          <w:b w:val="0"/>
          <w:sz w:val="20"/>
        </w:rPr>
        <w:t xml:space="preserve"> </w:t>
      </w:r>
    </w:p>
    <w:p w14:paraId="34E5B2B4" w14:textId="128AF60C" w:rsidR="00CC3D96" w:rsidRPr="00FA2D11" w:rsidRDefault="007B0C5F" w:rsidP="00601374">
      <w:pPr>
        <w:pStyle w:val="LGTdoc1"/>
        <w:kinsoku w:val="0"/>
        <w:overflowPunct w:val="0"/>
        <w:spacing w:beforeLines="0" w:before="120" w:after="0" w:afterAutospacing="0"/>
        <w:rPr>
          <w:sz w:val="20"/>
        </w:rPr>
      </w:pPr>
      <w:bookmarkStart w:id="11" w:name="p4"/>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75101C">
        <w:rPr>
          <w:noProof/>
          <w:sz w:val="20"/>
        </w:rPr>
        <w:t>4</w:t>
      </w:r>
      <w:r w:rsidRPr="007B0C5F">
        <w:rPr>
          <w:sz w:val="20"/>
        </w:rPr>
        <w:fldChar w:fldCharType="end"/>
      </w:r>
      <w:r>
        <w:rPr>
          <w:sz w:val="20"/>
        </w:rPr>
        <w:t>:</w:t>
      </w:r>
      <w:r w:rsidR="00CC3D96" w:rsidRPr="00FA2D11">
        <w:rPr>
          <w:sz w:val="20"/>
        </w:rPr>
        <w:t xml:space="preserve"> Multiple </w:t>
      </w:r>
      <w:r w:rsidR="000A6F35" w:rsidRPr="00FA2D11">
        <w:rPr>
          <w:sz w:val="20"/>
        </w:rPr>
        <w:t>s</w:t>
      </w:r>
      <w:r w:rsidR="00CC3D96" w:rsidRPr="00FA2D11">
        <w:rPr>
          <w:sz w:val="20"/>
        </w:rPr>
        <w:t xml:space="preserve">witching points </w:t>
      </w:r>
      <w:r w:rsidR="00814CFC" w:rsidRPr="00FA2D11">
        <w:rPr>
          <w:sz w:val="20"/>
        </w:rPr>
        <w:t xml:space="preserve">in a TxOP </w:t>
      </w:r>
      <w:r w:rsidR="00CC3D96" w:rsidRPr="00FA2D11">
        <w:rPr>
          <w:sz w:val="20"/>
        </w:rPr>
        <w:t>enable</w:t>
      </w:r>
      <w:r w:rsidR="00814CFC" w:rsidRPr="00FA2D11">
        <w:rPr>
          <w:sz w:val="20"/>
        </w:rPr>
        <w:t>s</w:t>
      </w:r>
      <w:r w:rsidR="00CC3D96" w:rsidRPr="00FA2D11">
        <w:rPr>
          <w:sz w:val="20"/>
        </w:rPr>
        <w:t xml:space="preserve"> </w:t>
      </w:r>
      <w:r w:rsidR="006E34AE" w:rsidRPr="00FA2D11">
        <w:rPr>
          <w:sz w:val="20"/>
        </w:rPr>
        <w:t>introduction of receiver</w:t>
      </w:r>
      <w:r w:rsidR="00CC3D96" w:rsidRPr="00FA2D11">
        <w:rPr>
          <w:sz w:val="20"/>
        </w:rPr>
        <w:t xml:space="preserve"> based channel reservation schemes</w:t>
      </w:r>
    </w:p>
    <w:bookmarkEnd w:id="11"/>
    <w:p w14:paraId="5B76D0D4" w14:textId="1F75F9BB" w:rsidR="006C701B" w:rsidRPr="006C701B" w:rsidRDefault="00A0191B" w:rsidP="00601374">
      <w:pPr>
        <w:pStyle w:val="Heading2"/>
        <w:kinsoku w:val="0"/>
      </w:pPr>
      <w:r>
        <w:t>4</w:t>
      </w:r>
      <w:r w:rsidR="00522BEB">
        <w:t>.2</w:t>
      </w:r>
      <w:r w:rsidR="00522BEB">
        <w:tab/>
      </w:r>
      <w:r w:rsidR="00CC3D96">
        <w:t>Fast link adaptation</w:t>
      </w:r>
    </w:p>
    <w:p w14:paraId="338F4659" w14:textId="4F1E5439" w:rsidR="00FA2D11" w:rsidRDefault="0077537A" w:rsidP="00601374">
      <w:pPr>
        <w:pStyle w:val="LGTdoc1"/>
        <w:keepNext/>
        <w:kinsoku w:val="0"/>
        <w:overflowPunct w:val="0"/>
        <w:spacing w:beforeLines="0" w:before="120" w:after="0" w:afterAutospacing="0"/>
        <w:rPr>
          <w:b w:val="0"/>
          <w:sz w:val="20"/>
        </w:rPr>
      </w:pPr>
      <w:bookmarkStart w:id="12" w:name="_Hlk506206519"/>
      <w:r>
        <w:rPr>
          <w:b w:val="0"/>
          <w:sz w:val="20"/>
        </w:rPr>
        <w:t>Another application of t</w:t>
      </w:r>
      <w:r w:rsidR="00E02E59" w:rsidRPr="0099677A">
        <w:rPr>
          <w:b w:val="0"/>
          <w:sz w:val="20"/>
        </w:rPr>
        <w:t xml:space="preserve">he </w:t>
      </w:r>
      <w:r w:rsidR="00CC3D96">
        <w:rPr>
          <w:b w:val="0"/>
          <w:sz w:val="20"/>
        </w:rPr>
        <w:t>multiple switching point</w:t>
      </w:r>
      <w:r w:rsidR="00814CFC">
        <w:rPr>
          <w:b w:val="0"/>
          <w:sz w:val="20"/>
        </w:rPr>
        <w:t>s is</w:t>
      </w:r>
      <w:r w:rsidR="00E02E59" w:rsidRPr="0099677A">
        <w:rPr>
          <w:b w:val="0"/>
          <w:sz w:val="20"/>
        </w:rPr>
        <w:t xml:space="preserve"> for </w:t>
      </w:r>
      <w:r w:rsidR="00814CFC">
        <w:rPr>
          <w:b w:val="0"/>
          <w:sz w:val="20"/>
        </w:rPr>
        <w:t xml:space="preserve">enabling </w:t>
      </w:r>
      <w:r w:rsidR="00E02E59" w:rsidRPr="0099677A">
        <w:rPr>
          <w:b w:val="0"/>
          <w:sz w:val="20"/>
        </w:rPr>
        <w:t>fast link adaptation.</w:t>
      </w:r>
      <w:r w:rsidR="00AC38D4">
        <w:rPr>
          <w:b w:val="0"/>
          <w:sz w:val="20"/>
        </w:rPr>
        <w:t xml:space="preserve"> This</w:t>
      </w:r>
      <w:r w:rsidR="007D10DE" w:rsidRPr="0099677A">
        <w:rPr>
          <w:b w:val="0"/>
          <w:sz w:val="20"/>
        </w:rPr>
        <w:t xml:space="preserve"> is particularly important for unlicensed use case, where a UE does not have channel measurement opportunities between TxOPs</w:t>
      </w:r>
      <w:r>
        <w:rPr>
          <w:b w:val="0"/>
          <w:sz w:val="20"/>
        </w:rPr>
        <w:t>.</w:t>
      </w:r>
      <w:r w:rsidR="007D10DE" w:rsidRPr="0099677A">
        <w:rPr>
          <w:b w:val="0"/>
          <w:sz w:val="20"/>
        </w:rPr>
        <w:t xml:space="preserve"> </w:t>
      </w:r>
      <w:r>
        <w:rPr>
          <w:b w:val="0"/>
          <w:sz w:val="20"/>
        </w:rPr>
        <w:t>The</w:t>
      </w:r>
      <w:r w:rsidR="00B35C8D">
        <w:rPr>
          <w:b w:val="0"/>
          <w:sz w:val="20"/>
        </w:rPr>
        <w:t xml:space="preserve"> channel measurement opportunities</w:t>
      </w:r>
      <w:r>
        <w:rPr>
          <w:b w:val="0"/>
          <w:sz w:val="20"/>
        </w:rPr>
        <w:t xml:space="preserve"> are</w:t>
      </w:r>
      <w:r w:rsidR="007D10DE" w:rsidRPr="0099677A">
        <w:rPr>
          <w:b w:val="0"/>
          <w:sz w:val="20"/>
        </w:rPr>
        <w:t xml:space="preserve"> sparse due to LBT requirement and the </w:t>
      </w:r>
      <w:r w:rsidR="00F05FC5" w:rsidRPr="0099677A">
        <w:rPr>
          <w:b w:val="0"/>
          <w:sz w:val="20"/>
        </w:rPr>
        <w:t>design guideline</w:t>
      </w:r>
      <w:r w:rsidR="007D10DE" w:rsidRPr="0099677A">
        <w:rPr>
          <w:b w:val="0"/>
          <w:sz w:val="20"/>
        </w:rPr>
        <w:t xml:space="preserve"> to not utilize the medium when there is no active traffic.</w:t>
      </w:r>
      <w:r w:rsidR="00E02E59" w:rsidRPr="0099677A">
        <w:rPr>
          <w:b w:val="0"/>
          <w:sz w:val="20"/>
        </w:rPr>
        <w:t xml:space="preserve"> </w:t>
      </w:r>
      <w:bookmarkEnd w:id="12"/>
      <w:r w:rsidR="00E02E59" w:rsidRPr="0099677A">
        <w:rPr>
          <w:b w:val="0"/>
          <w:sz w:val="20"/>
        </w:rPr>
        <w:t xml:space="preserve">For DL link adaptation, the </w:t>
      </w:r>
      <w:r w:rsidR="00CC3D96">
        <w:rPr>
          <w:b w:val="0"/>
          <w:sz w:val="20"/>
        </w:rPr>
        <w:t>TxOP</w:t>
      </w:r>
      <w:r w:rsidR="00E02E59" w:rsidRPr="0099677A">
        <w:rPr>
          <w:b w:val="0"/>
          <w:sz w:val="20"/>
        </w:rPr>
        <w:t xml:space="preserve"> may include a CSI-RS transmission followed by CSI report by the UE. It may also include a trigger for SRS transmission in DL followed by an SRS transmission by the UE in UL (for example to determine reciprocity based precoding). For link adaptation in UL, the SRS </w:t>
      </w:r>
      <w:r w:rsidR="00726473" w:rsidRPr="0099677A">
        <w:rPr>
          <w:b w:val="0"/>
          <w:sz w:val="20"/>
        </w:rPr>
        <w:t>trigger</w:t>
      </w:r>
      <w:r w:rsidR="00B35C8D">
        <w:rPr>
          <w:b w:val="0"/>
          <w:sz w:val="20"/>
        </w:rPr>
        <w:t xml:space="preserve"> from gNB</w:t>
      </w:r>
      <w:r w:rsidR="00726473" w:rsidRPr="0099677A">
        <w:rPr>
          <w:b w:val="0"/>
          <w:sz w:val="20"/>
        </w:rPr>
        <w:t xml:space="preserve"> followed by SRS transmission by the UE can be used</w:t>
      </w:r>
      <w:r w:rsidR="00FA2D11">
        <w:rPr>
          <w:b w:val="0"/>
          <w:sz w:val="20"/>
        </w:rPr>
        <w:t xml:space="preserve"> prior to UL grants</w:t>
      </w:r>
      <w:r w:rsidR="00726473" w:rsidRPr="0099677A">
        <w:rPr>
          <w:b w:val="0"/>
          <w:sz w:val="20"/>
        </w:rPr>
        <w:t>.</w:t>
      </w:r>
      <w:r w:rsidR="006662B2">
        <w:rPr>
          <w:b w:val="0"/>
          <w:sz w:val="20"/>
        </w:rPr>
        <w:t xml:space="preserve"> </w:t>
      </w:r>
      <w:r w:rsidR="006662B2" w:rsidRPr="00FA2D11">
        <w:rPr>
          <w:b w:val="0"/>
          <w:sz w:val="20"/>
        </w:rPr>
        <w:fldChar w:fldCharType="begin"/>
      </w:r>
      <w:r w:rsidR="006662B2">
        <w:rPr>
          <w:b w:val="0"/>
          <w:sz w:val="20"/>
        </w:rPr>
        <w:instrText xml:space="preserve"> REF _Ref521332660 \h  \* MERGEFORMAT </w:instrText>
      </w:r>
      <w:r w:rsidR="006662B2" w:rsidRPr="00FA2D11">
        <w:rPr>
          <w:b w:val="0"/>
          <w:sz w:val="20"/>
        </w:rPr>
      </w:r>
      <w:r w:rsidR="006662B2" w:rsidRPr="00FA2D11">
        <w:rPr>
          <w:b w:val="0"/>
          <w:sz w:val="20"/>
        </w:rPr>
        <w:fldChar w:fldCharType="separate"/>
      </w:r>
      <w:r w:rsidR="0075101C" w:rsidRPr="0075101C">
        <w:rPr>
          <w:b w:val="0"/>
          <w:sz w:val="20"/>
        </w:rPr>
        <w:t xml:space="preserve">Figure </w:t>
      </w:r>
      <w:r w:rsidR="0075101C" w:rsidRPr="0075101C">
        <w:rPr>
          <w:b w:val="0"/>
          <w:sz w:val="20"/>
        </w:rPr>
        <w:t>4</w:t>
      </w:r>
      <w:r w:rsidR="006662B2" w:rsidRPr="00FA2D11">
        <w:rPr>
          <w:b w:val="0"/>
          <w:sz w:val="20"/>
        </w:rPr>
        <w:fldChar w:fldCharType="end"/>
      </w:r>
      <w:r w:rsidR="006662B2">
        <w:rPr>
          <w:b w:val="0"/>
          <w:sz w:val="20"/>
        </w:rPr>
        <w:t xml:space="preserve"> shows how the multiple </w:t>
      </w:r>
      <w:r w:rsidR="006662B2">
        <w:rPr>
          <w:b w:val="0"/>
          <w:sz w:val="20"/>
        </w:rPr>
        <w:lastRenderedPageBreak/>
        <w:t>switching points can be used to enable fast link adaptation.</w:t>
      </w:r>
      <w:r w:rsidR="00E02E59" w:rsidRPr="0099677A">
        <w:rPr>
          <w:b w:val="0"/>
          <w:sz w:val="20"/>
        </w:rPr>
        <w:t xml:space="preserve"> </w:t>
      </w:r>
      <w:r w:rsidR="00CC3D96">
        <w:rPr>
          <w:b w:val="0"/>
          <w:sz w:val="20"/>
        </w:rPr>
        <w:t>Note that if timelines don’t permit exchange of this signals back to back, we could have data transmissions in-between these signals</w:t>
      </w:r>
      <w:r w:rsidR="00A91DD6">
        <w:rPr>
          <w:b w:val="0"/>
          <w:sz w:val="20"/>
        </w:rPr>
        <w:t xml:space="preserve"> as well</w:t>
      </w:r>
      <w:r w:rsidR="00CC3D96">
        <w:rPr>
          <w:b w:val="0"/>
          <w:sz w:val="20"/>
        </w:rPr>
        <w:t>.</w:t>
      </w:r>
    </w:p>
    <w:p w14:paraId="664ED0C8" w14:textId="13A4C7BC" w:rsidR="003A4E18" w:rsidRDefault="003A4E18" w:rsidP="00601374">
      <w:pPr>
        <w:pStyle w:val="LGTdoc1"/>
        <w:keepNext/>
        <w:kinsoku w:val="0"/>
        <w:overflowPunct w:val="0"/>
        <w:spacing w:beforeLines="0" w:before="120" w:after="0" w:afterAutospacing="0"/>
      </w:pPr>
      <w:r>
        <w:object w:dxaOrig="15666" w:dyaOrig="6208" w14:anchorId="0CB71289">
          <v:shape id="_x0000_i1027" type="#_x0000_t75" style="width:468pt;height:186pt" o:ole="">
            <v:imagedata r:id="rId18" o:title=""/>
          </v:shape>
          <o:OLEObject Type="Embed" ProgID="Visio.Drawing.11" ShapeID="_x0000_i1027" DrawAspect="Content" ObjectID="_1602664792" r:id="rId19"/>
        </w:object>
      </w:r>
    </w:p>
    <w:p w14:paraId="78AC7FA4" w14:textId="6D9C242F" w:rsidR="003A4E18" w:rsidRPr="0099677A" w:rsidRDefault="003A4E18" w:rsidP="00601374">
      <w:pPr>
        <w:pStyle w:val="Caption"/>
        <w:kinsoku w:val="0"/>
        <w:jc w:val="center"/>
        <w:rPr>
          <w:b w:val="0"/>
        </w:rPr>
      </w:pPr>
      <w:bookmarkStart w:id="13" w:name="_Ref521332660"/>
      <w:r>
        <w:t xml:space="preserve">Figure </w:t>
      </w:r>
      <w:r>
        <w:fldChar w:fldCharType="begin"/>
      </w:r>
      <w:r>
        <w:instrText xml:space="preserve"> SEQ Figure \* ARABIC </w:instrText>
      </w:r>
      <w:r>
        <w:fldChar w:fldCharType="separate"/>
      </w:r>
      <w:r w:rsidR="0075101C">
        <w:rPr>
          <w:noProof/>
        </w:rPr>
        <w:t>4</w:t>
      </w:r>
      <w:r>
        <w:fldChar w:fldCharType="end"/>
      </w:r>
      <w:bookmarkEnd w:id="13"/>
      <w:r>
        <w:t>: Examples of fast link adaptation enabled by multiple switching point support</w:t>
      </w:r>
    </w:p>
    <w:p w14:paraId="39D357F7" w14:textId="448425D3" w:rsidR="00620427" w:rsidRDefault="003A4E18" w:rsidP="00601374">
      <w:pPr>
        <w:pStyle w:val="LGTdoc1"/>
        <w:kinsoku w:val="0"/>
        <w:overflowPunct w:val="0"/>
        <w:spacing w:beforeLines="0" w:before="120" w:after="0" w:afterAutospacing="0"/>
        <w:rPr>
          <w:b w:val="0"/>
          <w:sz w:val="20"/>
        </w:rPr>
      </w:pPr>
      <w:r>
        <w:rPr>
          <w:b w:val="0"/>
          <w:sz w:val="20"/>
        </w:rPr>
        <w:t>In</w:t>
      </w:r>
      <w:r w:rsidR="00803387">
        <w:rPr>
          <w:b w:val="0"/>
          <w:sz w:val="20"/>
        </w:rPr>
        <w:t xml:space="preserve"> </w:t>
      </w:r>
      <w:r w:rsidR="00803387">
        <w:rPr>
          <w:b w:val="0"/>
          <w:sz w:val="20"/>
        </w:rPr>
        <w:fldChar w:fldCharType="begin"/>
      </w:r>
      <w:r w:rsidR="00803387">
        <w:rPr>
          <w:b w:val="0"/>
          <w:sz w:val="20"/>
        </w:rPr>
        <w:instrText xml:space="preserve"> REF _Ref521600307 \h  \* MERGEFORMAT </w:instrText>
      </w:r>
      <w:r w:rsidR="00803387">
        <w:rPr>
          <w:b w:val="0"/>
          <w:sz w:val="20"/>
        </w:rPr>
      </w:r>
      <w:r w:rsidR="00803387">
        <w:rPr>
          <w:b w:val="0"/>
          <w:sz w:val="20"/>
        </w:rPr>
        <w:fldChar w:fldCharType="separate"/>
      </w:r>
      <w:r w:rsidR="0075101C" w:rsidRPr="0075101C">
        <w:rPr>
          <w:b w:val="0"/>
          <w:sz w:val="20"/>
        </w:rPr>
        <w:t xml:space="preserve">Figure </w:t>
      </w:r>
      <w:r w:rsidR="0075101C" w:rsidRPr="0075101C">
        <w:rPr>
          <w:b w:val="0"/>
          <w:sz w:val="20"/>
        </w:rPr>
        <w:t>5</w:t>
      </w:r>
      <w:r w:rsidR="00803387">
        <w:rPr>
          <w:b w:val="0"/>
          <w:sz w:val="20"/>
        </w:rPr>
        <w:fldChar w:fldCharType="end"/>
      </w:r>
      <w:r w:rsidR="00803387">
        <w:rPr>
          <w:b w:val="0"/>
          <w:sz w:val="20"/>
        </w:rPr>
        <w:t xml:space="preserve"> and </w:t>
      </w:r>
      <w:r w:rsidR="00803387">
        <w:rPr>
          <w:b w:val="0"/>
          <w:sz w:val="20"/>
        </w:rPr>
        <w:fldChar w:fldCharType="begin"/>
      </w:r>
      <w:r w:rsidR="00803387">
        <w:rPr>
          <w:b w:val="0"/>
          <w:sz w:val="20"/>
        </w:rPr>
        <w:instrText xml:space="preserve"> REF _Ref521600309 \h  \* MERGEFORMAT </w:instrText>
      </w:r>
      <w:r w:rsidR="00803387">
        <w:rPr>
          <w:b w:val="0"/>
          <w:sz w:val="20"/>
        </w:rPr>
      </w:r>
      <w:r w:rsidR="00803387">
        <w:rPr>
          <w:b w:val="0"/>
          <w:sz w:val="20"/>
        </w:rPr>
        <w:fldChar w:fldCharType="separate"/>
      </w:r>
      <w:r w:rsidR="0075101C" w:rsidRPr="0075101C">
        <w:rPr>
          <w:b w:val="0"/>
          <w:sz w:val="20"/>
        </w:rPr>
        <w:t xml:space="preserve">Figure </w:t>
      </w:r>
      <w:r w:rsidR="0075101C" w:rsidRPr="0075101C">
        <w:rPr>
          <w:b w:val="0"/>
          <w:sz w:val="20"/>
        </w:rPr>
        <w:t>6</w:t>
      </w:r>
      <w:r w:rsidR="00803387">
        <w:rPr>
          <w:b w:val="0"/>
          <w:sz w:val="20"/>
        </w:rPr>
        <w:fldChar w:fldCharType="end"/>
      </w:r>
      <w:r>
        <w:rPr>
          <w:b w:val="0"/>
          <w:sz w:val="20"/>
        </w:rPr>
        <w:t xml:space="preserve"> we </w:t>
      </w:r>
      <w:r w:rsidR="00803387">
        <w:rPr>
          <w:b w:val="0"/>
          <w:sz w:val="20"/>
        </w:rPr>
        <w:t>show</w:t>
      </w:r>
      <w:r>
        <w:rPr>
          <w:b w:val="0"/>
          <w:sz w:val="20"/>
        </w:rPr>
        <w:t xml:space="preserve"> the </w:t>
      </w:r>
      <w:r w:rsidR="00803387">
        <w:rPr>
          <w:b w:val="0"/>
          <w:sz w:val="20"/>
        </w:rPr>
        <w:t xml:space="preserve">DL and UL user perceived throughput (UPT) </w:t>
      </w:r>
      <w:r>
        <w:rPr>
          <w:b w:val="0"/>
          <w:sz w:val="20"/>
        </w:rPr>
        <w:t>performance</w:t>
      </w:r>
      <w:r w:rsidR="00126F6E">
        <w:rPr>
          <w:b w:val="0"/>
          <w:sz w:val="20"/>
        </w:rPr>
        <w:t xml:space="preserve"> </w:t>
      </w:r>
      <w:r w:rsidR="00803387">
        <w:rPr>
          <w:b w:val="0"/>
          <w:sz w:val="20"/>
        </w:rPr>
        <w:t>for</w:t>
      </w:r>
    </w:p>
    <w:p w14:paraId="1D30D829" w14:textId="492A89B3" w:rsidR="00620427" w:rsidRDefault="00620427" w:rsidP="00601374">
      <w:pPr>
        <w:pStyle w:val="LGTdoc1"/>
        <w:numPr>
          <w:ilvl w:val="0"/>
          <w:numId w:val="33"/>
        </w:numPr>
        <w:kinsoku w:val="0"/>
        <w:overflowPunct w:val="0"/>
        <w:spacing w:beforeLines="0" w:before="120" w:after="0" w:afterAutospacing="0"/>
        <w:rPr>
          <w:b w:val="0"/>
          <w:sz w:val="20"/>
        </w:rPr>
      </w:pPr>
      <w:r>
        <w:rPr>
          <w:b w:val="0"/>
          <w:sz w:val="20"/>
        </w:rPr>
        <w:t>F</w:t>
      </w:r>
      <w:r w:rsidR="003A4E18">
        <w:rPr>
          <w:b w:val="0"/>
          <w:sz w:val="20"/>
        </w:rPr>
        <w:t>as</w:t>
      </w:r>
      <w:r>
        <w:rPr>
          <w:b w:val="0"/>
          <w:sz w:val="20"/>
        </w:rPr>
        <w:t>t CSI feedback under TxOP structure</w:t>
      </w:r>
      <w:r w:rsidR="003A4E18">
        <w:rPr>
          <w:b w:val="0"/>
          <w:sz w:val="20"/>
        </w:rPr>
        <w:t xml:space="preserve"> with multiple switching point</w:t>
      </w:r>
      <w:r w:rsidR="00DA35C5">
        <w:rPr>
          <w:b w:val="0"/>
          <w:sz w:val="20"/>
        </w:rPr>
        <w:t>s</w:t>
      </w:r>
    </w:p>
    <w:p w14:paraId="6D29EAA0" w14:textId="2BDC5467" w:rsidR="00620427" w:rsidRDefault="00620427" w:rsidP="00601374">
      <w:pPr>
        <w:pStyle w:val="LGTdoc1"/>
        <w:numPr>
          <w:ilvl w:val="0"/>
          <w:numId w:val="33"/>
        </w:numPr>
        <w:kinsoku w:val="0"/>
        <w:overflowPunct w:val="0"/>
        <w:spacing w:beforeLines="0" w:before="120" w:after="0" w:afterAutospacing="0"/>
        <w:rPr>
          <w:b w:val="0"/>
          <w:sz w:val="20"/>
        </w:rPr>
      </w:pPr>
      <w:r>
        <w:rPr>
          <w:b w:val="0"/>
          <w:sz w:val="20"/>
        </w:rPr>
        <w:t>N</w:t>
      </w:r>
      <w:r w:rsidR="00DA35C5">
        <w:rPr>
          <w:b w:val="0"/>
          <w:sz w:val="20"/>
        </w:rPr>
        <w:t xml:space="preserve">ormal </w:t>
      </w:r>
      <w:r w:rsidR="003A4E18">
        <w:rPr>
          <w:b w:val="0"/>
          <w:sz w:val="20"/>
        </w:rPr>
        <w:t>CSI feedback</w:t>
      </w:r>
      <w:r>
        <w:rPr>
          <w:b w:val="0"/>
          <w:sz w:val="20"/>
        </w:rPr>
        <w:t xml:space="preserve"> under TxOP structure with single switching point, where CSI</w:t>
      </w:r>
      <w:r w:rsidR="003A4E18">
        <w:rPr>
          <w:b w:val="0"/>
          <w:sz w:val="20"/>
        </w:rPr>
        <w:t xml:space="preserve"> </w:t>
      </w:r>
      <w:r>
        <w:rPr>
          <w:b w:val="0"/>
          <w:sz w:val="20"/>
        </w:rPr>
        <w:t xml:space="preserve">is </w:t>
      </w:r>
      <w:r w:rsidR="00803387">
        <w:rPr>
          <w:b w:val="0"/>
          <w:sz w:val="20"/>
        </w:rPr>
        <w:t>computed at</w:t>
      </w:r>
      <w:r w:rsidR="003A4E18">
        <w:rPr>
          <w:b w:val="0"/>
          <w:sz w:val="20"/>
        </w:rPr>
        <w:t xml:space="preserve"> end of previous TxOP</w:t>
      </w:r>
      <w:r>
        <w:rPr>
          <w:b w:val="0"/>
          <w:sz w:val="20"/>
        </w:rPr>
        <w:t>.</w:t>
      </w:r>
    </w:p>
    <w:p w14:paraId="6610F559" w14:textId="5310BEA8" w:rsidR="00CC3D96" w:rsidRDefault="003A4E18" w:rsidP="00601374">
      <w:pPr>
        <w:pStyle w:val="LGTdoc1"/>
        <w:kinsoku w:val="0"/>
        <w:overflowPunct w:val="0"/>
        <w:spacing w:beforeLines="0" w:before="120" w:after="0" w:afterAutospacing="0"/>
        <w:rPr>
          <w:b w:val="0"/>
          <w:sz w:val="20"/>
        </w:rPr>
      </w:pPr>
      <w:r>
        <w:rPr>
          <w:b w:val="0"/>
          <w:sz w:val="20"/>
        </w:rPr>
        <w:t>Th</w:t>
      </w:r>
      <w:r w:rsidR="00126F6E">
        <w:rPr>
          <w:b w:val="0"/>
          <w:sz w:val="20"/>
        </w:rPr>
        <w:t>ese results are</w:t>
      </w:r>
      <w:r>
        <w:rPr>
          <w:b w:val="0"/>
          <w:sz w:val="20"/>
        </w:rPr>
        <w:t xml:space="preserve"> for the indoor simulation scenario agreed </w:t>
      </w:r>
      <w:r w:rsidR="00803387">
        <w:rPr>
          <w:b w:val="0"/>
          <w:sz w:val="20"/>
        </w:rPr>
        <w:t>in RAN1#93</w:t>
      </w:r>
      <w:r>
        <w:rPr>
          <w:b w:val="0"/>
          <w:sz w:val="20"/>
        </w:rPr>
        <w:t xml:space="preserve"> [5]</w:t>
      </w:r>
      <w:r w:rsidR="00126F6E">
        <w:rPr>
          <w:b w:val="0"/>
          <w:sz w:val="20"/>
        </w:rPr>
        <w:t xml:space="preserve">. Some additional simulation assumptions are provided in </w:t>
      </w:r>
      <w:r w:rsidR="00126F6E">
        <w:rPr>
          <w:b w:val="0"/>
          <w:sz w:val="20"/>
        </w:rPr>
        <w:fldChar w:fldCharType="begin"/>
      </w:r>
      <w:r w:rsidR="00126F6E">
        <w:rPr>
          <w:b w:val="0"/>
          <w:sz w:val="20"/>
        </w:rPr>
        <w:instrText xml:space="preserve"> REF _Ref521594428 \h  \* MERGEFORMAT </w:instrText>
      </w:r>
      <w:r w:rsidR="00126F6E">
        <w:rPr>
          <w:b w:val="0"/>
          <w:sz w:val="20"/>
        </w:rPr>
      </w:r>
      <w:r w:rsidR="00126F6E">
        <w:rPr>
          <w:b w:val="0"/>
          <w:sz w:val="20"/>
        </w:rPr>
        <w:fldChar w:fldCharType="separate"/>
      </w:r>
      <w:r w:rsidR="0075101C" w:rsidRPr="0075101C">
        <w:rPr>
          <w:b w:val="0"/>
          <w:sz w:val="20"/>
        </w:rPr>
        <w:t xml:space="preserve">Table </w:t>
      </w:r>
      <w:r w:rsidR="0075101C" w:rsidRPr="0075101C">
        <w:rPr>
          <w:b w:val="0"/>
          <w:sz w:val="20"/>
        </w:rPr>
        <w:t>1</w:t>
      </w:r>
      <w:r w:rsidR="00126F6E">
        <w:rPr>
          <w:b w:val="0"/>
          <w:sz w:val="20"/>
        </w:rPr>
        <w:fldChar w:fldCharType="end"/>
      </w:r>
      <w:r w:rsidR="00126F6E">
        <w:rPr>
          <w:b w:val="0"/>
          <w:sz w:val="20"/>
        </w:rPr>
        <w:t xml:space="preserve">. </w:t>
      </w:r>
      <w:r>
        <w:rPr>
          <w:b w:val="0"/>
          <w:sz w:val="20"/>
        </w:rPr>
        <w:t>As is evident from the plots, s</w:t>
      </w:r>
      <w:r w:rsidR="00CC3D96">
        <w:rPr>
          <w:b w:val="0"/>
          <w:sz w:val="20"/>
        </w:rPr>
        <w:t xml:space="preserve">upport of multiple switching points </w:t>
      </w:r>
      <w:r w:rsidR="00726473" w:rsidRPr="0099677A">
        <w:rPr>
          <w:b w:val="0"/>
          <w:sz w:val="20"/>
        </w:rPr>
        <w:t xml:space="preserve">helps </w:t>
      </w:r>
      <w:r>
        <w:rPr>
          <w:b w:val="0"/>
          <w:sz w:val="20"/>
        </w:rPr>
        <w:t xml:space="preserve">obtain </w:t>
      </w:r>
      <w:r w:rsidR="00726473" w:rsidRPr="0099677A">
        <w:rPr>
          <w:b w:val="0"/>
          <w:sz w:val="20"/>
        </w:rPr>
        <w:t xml:space="preserve">faster and more accurate selection of rank, precoder, and </w:t>
      </w:r>
      <w:r w:rsidR="00E02E59" w:rsidRPr="0099677A">
        <w:rPr>
          <w:b w:val="0"/>
          <w:sz w:val="20"/>
        </w:rPr>
        <w:t>MCS</w:t>
      </w:r>
      <w:r w:rsidR="00726473" w:rsidRPr="0099677A">
        <w:rPr>
          <w:b w:val="0"/>
          <w:sz w:val="20"/>
        </w:rPr>
        <w:t xml:space="preserve"> </w:t>
      </w:r>
      <w:r w:rsidR="007B0C5F">
        <w:rPr>
          <w:b w:val="0"/>
          <w:sz w:val="20"/>
        </w:rPr>
        <w:t>that is</w:t>
      </w:r>
      <w:r w:rsidR="00726473" w:rsidRPr="0099677A">
        <w:rPr>
          <w:b w:val="0"/>
          <w:sz w:val="20"/>
        </w:rPr>
        <w:t xml:space="preserve"> </w:t>
      </w:r>
      <w:r w:rsidR="00FA2D11">
        <w:rPr>
          <w:b w:val="0"/>
          <w:sz w:val="20"/>
        </w:rPr>
        <w:t xml:space="preserve">matched to the current channel and interference conditions </w:t>
      </w:r>
      <w:r w:rsidR="007B0C5F">
        <w:rPr>
          <w:b w:val="0"/>
          <w:sz w:val="20"/>
        </w:rPr>
        <w:t xml:space="preserve">leading </w:t>
      </w:r>
      <w:r w:rsidR="00726473" w:rsidRPr="0099677A">
        <w:rPr>
          <w:b w:val="0"/>
          <w:sz w:val="20"/>
        </w:rPr>
        <w:t>to</w:t>
      </w:r>
      <w:r w:rsidR="007B0C5F">
        <w:rPr>
          <w:b w:val="0"/>
          <w:sz w:val="20"/>
        </w:rPr>
        <w:t xml:space="preserve"> much</w:t>
      </w:r>
      <w:r w:rsidR="00726473" w:rsidRPr="0099677A">
        <w:rPr>
          <w:b w:val="0"/>
          <w:sz w:val="20"/>
        </w:rPr>
        <w:t xml:space="preserve"> more efficient operation during the data transmission.</w:t>
      </w:r>
      <w:r w:rsidR="00CC3D96">
        <w:rPr>
          <w:b w:val="0"/>
          <w:sz w:val="20"/>
        </w:rPr>
        <w:t xml:space="preserve"> </w:t>
      </w:r>
    </w:p>
    <w:p w14:paraId="29C204F5" w14:textId="55FBB7AF" w:rsidR="00803387" w:rsidRDefault="00FC7492" w:rsidP="00601374">
      <w:pPr>
        <w:pStyle w:val="LGTdoc1"/>
        <w:keepNext/>
        <w:kinsoku w:val="0"/>
        <w:overflowPunct w:val="0"/>
        <w:spacing w:beforeLines="0" w:before="120" w:after="0" w:afterAutospacing="0"/>
      </w:pPr>
      <w:r>
        <w:rPr>
          <w:noProof/>
        </w:rPr>
        <w:drawing>
          <wp:inline distT="0" distB="0" distL="0" distR="0" wp14:anchorId="31E6332C" wp14:editId="6745F3F3">
            <wp:extent cx="5943600" cy="258191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jpg"/>
                    <pic:cNvPicPr/>
                  </pic:nvPicPr>
                  <pic:blipFill>
                    <a:blip r:embed="rId20">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5C61A924" w14:textId="4164FE8D" w:rsidR="00126F6E" w:rsidRDefault="00803387" w:rsidP="00601374">
      <w:pPr>
        <w:pStyle w:val="Caption"/>
        <w:kinsoku w:val="0"/>
        <w:jc w:val="center"/>
        <w:rPr>
          <w:b w:val="0"/>
        </w:rPr>
      </w:pPr>
      <w:bookmarkStart w:id="14" w:name="_Ref521600307"/>
      <w:r>
        <w:t xml:space="preserve">Figure </w:t>
      </w:r>
      <w:r>
        <w:fldChar w:fldCharType="begin"/>
      </w:r>
      <w:r>
        <w:instrText xml:space="preserve"> SEQ Figure \* ARABIC </w:instrText>
      </w:r>
      <w:r>
        <w:fldChar w:fldCharType="separate"/>
      </w:r>
      <w:r w:rsidR="0075101C">
        <w:rPr>
          <w:noProof/>
        </w:rPr>
        <w:t>5</w:t>
      </w:r>
      <w:r>
        <w:fldChar w:fldCharType="end"/>
      </w:r>
      <w:bookmarkEnd w:id="14"/>
      <w:r>
        <w:t>: Indoor Scenario DL UPT</w:t>
      </w:r>
    </w:p>
    <w:p w14:paraId="60FBA9B8" w14:textId="01728D85" w:rsidR="00803387" w:rsidRDefault="00803387" w:rsidP="00601374">
      <w:pPr>
        <w:pStyle w:val="LGTdoc1"/>
        <w:keepNext/>
        <w:kinsoku w:val="0"/>
        <w:overflowPunct w:val="0"/>
        <w:spacing w:beforeLines="0" w:before="120" w:after="0" w:afterAutospacing="0"/>
      </w:pPr>
      <w:r>
        <w:rPr>
          <w:noProof/>
        </w:rPr>
        <w:lastRenderedPageBreak/>
        <w:drawing>
          <wp:inline distT="0" distB="0" distL="0" distR="0" wp14:anchorId="1E0346CB" wp14:editId="7EBFA891">
            <wp:extent cx="5943600" cy="258191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jpg"/>
                    <pic:cNvPicPr/>
                  </pic:nvPicPr>
                  <pic:blipFill>
                    <a:blip r:embed="rId21">
                      <a:extLst>
                        <a:ext uri="{28A0092B-C50C-407E-A947-70E740481C1C}">
                          <a14:useLocalDpi xmlns:a14="http://schemas.microsoft.com/office/drawing/2010/main" val="0"/>
                        </a:ext>
                      </a:extLst>
                    </a:blip>
                    <a:stretch>
                      <a:fillRect/>
                    </a:stretch>
                  </pic:blipFill>
                  <pic:spPr>
                    <a:xfrm>
                      <a:off x="0" y="0"/>
                      <a:ext cx="5943600" cy="2581910"/>
                    </a:xfrm>
                    <a:prstGeom prst="rect">
                      <a:avLst/>
                    </a:prstGeom>
                  </pic:spPr>
                </pic:pic>
              </a:graphicData>
            </a:graphic>
          </wp:inline>
        </w:drawing>
      </w:r>
    </w:p>
    <w:p w14:paraId="0658539F" w14:textId="21660FBF" w:rsidR="00803387" w:rsidRDefault="00803387" w:rsidP="00601374">
      <w:pPr>
        <w:pStyle w:val="Caption"/>
        <w:kinsoku w:val="0"/>
        <w:jc w:val="center"/>
        <w:rPr>
          <w:b w:val="0"/>
        </w:rPr>
      </w:pPr>
      <w:bookmarkStart w:id="15" w:name="_Ref521600309"/>
      <w:r>
        <w:t xml:space="preserve">Figure </w:t>
      </w:r>
      <w:r>
        <w:fldChar w:fldCharType="begin"/>
      </w:r>
      <w:r>
        <w:instrText xml:space="preserve"> SEQ Figure \* ARABIC </w:instrText>
      </w:r>
      <w:r>
        <w:fldChar w:fldCharType="separate"/>
      </w:r>
      <w:r w:rsidR="0075101C">
        <w:rPr>
          <w:noProof/>
        </w:rPr>
        <w:t>6</w:t>
      </w:r>
      <w:r>
        <w:fldChar w:fldCharType="end"/>
      </w:r>
      <w:bookmarkEnd w:id="15"/>
      <w:r>
        <w:t>: Indoor Scenario UL UPT</w:t>
      </w:r>
    </w:p>
    <w:p w14:paraId="4455950E" w14:textId="77777777" w:rsidR="00803387" w:rsidRDefault="00803387" w:rsidP="00601374">
      <w:pPr>
        <w:pStyle w:val="LGTdoc1"/>
        <w:kinsoku w:val="0"/>
        <w:overflowPunct w:val="0"/>
        <w:spacing w:beforeLines="0" w:before="120" w:after="0" w:afterAutospacing="0"/>
        <w:rPr>
          <w:b w:val="0"/>
          <w:sz w:val="20"/>
        </w:rPr>
      </w:pPr>
    </w:p>
    <w:p w14:paraId="064841D7" w14:textId="64CAA92F" w:rsidR="00126F6E" w:rsidRDefault="00126F6E" w:rsidP="00601374">
      <w:pPr>
        <w:pStyle w:val="Caption"/>
        <w:keepNext/>
        <w:kinsoku w:val="0"/>
        <w:jc w:val="center"/>
      </w:pPr>
      <w:bookmarkStart w:id="16" w:name="_Ref521594428"/>
      <w:r>
        <w:t xml:space="preserve">Table </w:t>
      </w:r>
      <w:r>
        <w:fldChar w:fldCharType="begin"/>
      </w:r>
      <w:r>
        <w:instrText xml:space="preserve"> SEQ Table \* ARABIC </w:instrText>
      </w:r>
      <w:r>
        <w:fldChar w:fldCharType="separate"/>
      </w:r>
      <w:r w:rsidR="0075101C">
        <w:rPr>
          <w:noProof/>
        </w:rPr>
        <w:t>1</w:t>
      </w:r>
      <w:r>
        <w:fldChar w:fldCharType="end"/>
      </w:r>
      <w:bookmarkEnd w:id="16"/>
      <w:r>
        <w:t>: Simulation Assumptions for CSI with multiple switching points</w:t>
      </w:r>
    </w:p>
    <w:tbl>
      <w:tblPr>
        <w:tblStyle w:val="TableGrid"/>
        <w:tblW w:w="0" w:type="auto"/>
        <w:jc w:val="center"/>
        <w:tblLook w:val="0600" w:firstRow="0" w:lastRow="0" w:firstColumn="0" w:lastColumn="0" w:noHBand="1" w:noVBand="1"/>
      </w:tblPr>
      <w:tblGrid>
        <w:gridCol w:w="2753"/>
        <w:gridCol w:w="2753"/>
      </w:tblGrid>
      <w:tr w:rsidR="00126F6E" w14:paraId="126B3D79" w14:textId="77777777" w:rsidTr="00522BEB">
        <w:trPr>
          <w:trHeight w:val="264"/>
          <w:jc w:val="center"/>
        </w:trPr>
        <w:tc>
          <w:tcPr>
            <w:tcW w:w="2753" w:type="dxa"/>
            <w:shd w:val="clear" w:color="auto" w:fill="auto"/>
          </w:tcPr>
          <w:p w14:paraId="40AD6B30" w14:textId="4BF4DF86" w:rsidR="00126F6E" w:rsidRPr="00522BEB" w:rsidRDefault="00126F6E" w:rsidP="00601374">
            <w:pPr>
              <w:pStyle w:val="LGTdoc1"/>
              <w:kinsoku w:val="0"/>
              <w:overflowPunct w:val="0"/>
              <w:spacing w:beforeLines="0" w:before="120" w:after="0" w:afterAutospacing="0"/>
              <w:rPr>
                <w:sz w:val="22"/>
              </w:rPr>
            </w:pPr>
            <w:r w:rsidRPr="00522BEB">
              <w:rPr>
                <w:sz w:val="22"/>
              </w:rPr>
              <w:t>Parameter</w:t>
            </w:r>
          </w:p>
        </w:tc>
        <w:tc>
          <w:tcPr>
            <w:tcW w:w="2753" w:type="dxa"/>
            <w:shd w:val="clear" w:color="auto" w:fill="auto"/>
          </w:tcPr>
          <w:p w14:paraId="57F5F956" w14:textId="685B3E87" w:rsidR="00126F6E" w:rsidRPr="00522BEB" w:rsidRDefault="00126F6E" w:rsidP="00601374">
            <w:pPr>
              <w:pStyle w:val="LGTdoc1"/>
              <w:kinsoku w:val="0"/>
              <w:overflowPunct w:val="0"/>
              <w:spacing w:beforeLines="0" w:before="120" w:after="0" w:afterAutospacing="0"/>
              <w:rPr>
                <w:sz w:val="22"/>
              </w:rPr>
            </w:pPr>
            <w:r w:rsidRPr="00522BEB">
              <w:rPr>
                <w:sz w:val="22"/>
              </w:rPr>
              <w:t>Value</w:t>
            </w:r>
          </w:p>
        </w:tc>
      </w:tr>
      <w:tr w:rsidR="00126F6E" w14:paraId="2A043CD5" w14:textId="77777777" w:rsidTr="00522BEB">
        <w:trPr>
          <w:trHeight w:val="254"/>
          <w:jc w:val="center"/>
        </w:trPr>
        <w:tc>
          <w:tcPr>
            <w:tcW w:w="2753" w:type="dxa"/>
            <w:shd w:val="clear" w:color="auto" w:fill="auto"/>
          </w:tcPr>
          <w:p w14:paraId="37220DA5" w14:textId="1C6C2080" w:rsidR="00126F6E" w:rsidRPr="00522BEB" w:rsidRDefault="00126F6E" w:rsidP="00601374">
            <w:pPr>
              <w:pStyle w:val="LGTdoc1"/>
              <w:kinsoku w:val="0"/>
              <w:overflowPunct w:val="0"/>
              <w:spacing w:beforeLines="0" w:before="120" w:after="0" w:afterAutospacing="0"/>
              <w:rPr>
                <w:b w:val="0"/>
                <w:sz w:val="22"/>
              </w:rPr>
            </w:pPr>
            <w:r w:rsidRPr="00522BEB">
              <w:rPr>
                <w:b w:val="0"/>
                <w:sz w:val="22"/>
              </w:rPr>
              <w:t>DL and UL Traffic ratio</w:t>
            </w:r>
          </w:p>
        </w:tc>
        <w:tc>
          <w:tcPr>
            <w:tcW w:w="2753" w:type="dxa"/>
            <w:shd w:val="clear" w:color="auto" w:fill="auto"/>
          </w:tcPr>
          <w:p w14:paraId="30723FBF" w14:textId="445AD187" w:rsidR="00126F6E" w:rsidRPr="00522BEB" w:rsidRDefault="00126F6E" w:rsidP="00601374">
            <w:pPr>
              <w:pStyle w:val="LGTdoc1"/>
              <w:kinsoku w:val="0"/>
              <w:overflowPunct w:val="0"/>
              <w:spacing w:beforeLines="0" w:before="120" w:after="0" w:afterAutospacing="0"/>
              <w:rPr>
                <w:b w:val="0"/>
                <w:sz w:val="22"/>
              </w:rPr>
            </w:pPr>
            <w:r w:rsidRPr="00522BEB">
              <w:rPr>
                <w:b w:val="0"/>
                <w:sz w:val="22"/>
              </w:rPr>
              <w:t>50%, 50%</w:t>
            </w:r>
          </w:p>
        </w:tc>
      </w:tr>
      <w:tr w:rsidR="00126F6E" w14:paraId="663713EC" w14:textId="77777777" w:rsidTr="00522BEB">
        <w:trPr>
          <w:trHeight w:val="264"/>
          <w:jc w:val="center"/>
        </w:trPr>
        <w:tc>
          <w:tcPr>
            <w:tcW w:w="2753" w:type="dxa"/>
            <w:shd w:val="clear" w:color="auto" w:fill="auto"/>
          </w:tcPr>
          <w:p w14:paraId="7F9E84ED" w14:textId="161DDBA9" w:rsidR="00126F6E" w:rsidRPr="00522BEB" w:rsidRDefault="00126F6E" w:rsidP="00601374">
            <w:pPr>
              <w:pStyle w:val="LGTdoc1"/>
              <w:kinsoku w:val="0"/>
              <w:overflowPunct w:val="0"/>
              <w:spacing w:beforeLines="0" w:before="120" w:after="0" w:afterAutospacing="0"/>
              <w:rPr>
                <w:b w:val="0"/>
                <w:sz w:val="22"/>
              </w:rPr>
            </w:pPr>
            <w:r w:rsidRPr="00522BEB">
              <w:rPr>
                <w:b w:val="0"/>
                <w:sz w:val="22"/>
              </w:rPr>
              <w:t>Channel bandwidth</w:t>
            </w:r>
          </w:p>
        </w:tc>
        <w:tc>
          <w:tcPr>
            <w:tcW w:w="2753" w:type="dxa"/>
            <w:shd w:val="clear" w:color="auto" w:fill="auto"/>
          </w:tcPr>
          <w:p w14:paraId="7F5E7839" w14:textId="16E73C6C" w:rsidR="00126F6E" w:rsidRPr="00522BEB" w:rsidRDefault="00126F6E" w:rsidP="00601374">
            <w:pPr>
              <w:pStyle w:val="LGTdoc1"/>
              <w:kinsoku w:val="0"/>
              <w:overflowPunct w:val="0"/>
              <w:spacing w:beforeLines="0" w:before="120" w:after="0" w:afterAutospacing="0"/>
              <w:rPr>
                <w:b w:val="0"/>
                <w:sz w:val="22"/>
              </w:rPr>
            </w:pPr>
            <w:r w:rsidRPr="00522BEB">
              <w:rPr>
                <w:b w:val="0"/>
                <w:sz w:val="22"/>
              </w:rPr>
              <w:t>80MHz</w:t>
            </w:r>
          </w:p>
        </w:tc>
      </w:tr>
      <w:tr w:rsidR="00126F6E" w14:paraId="7539B37C" w14:textId="77777777" w:rsidTr="00522BEB">
        <w:trPr>
          <w:trHeight w:val="254"/>
          <w:jc w:val="center"/>
        </w:trPr>
        <w:tc>
          <w:tcPr>
            <w:tcW w:w="2753" w:type="dxa"/>
            <w:shd w:val="clear" w:color="auto" w:fill="auto"/>
          </w:tcPr>
          <w:p w14:paraId="6A043041" w14:textId="7EE3B457" w:rsidR="00126F6E" w:rsidRPr="00522BEB" w:rsidRDefault="00126F6E" w:rsidP="00601374">
            <w:pPr>
              <w:pStyle w:val="LGTdoc1"/>
              <w:kinsoku w:val="0"/>
              <w:overflowPunct w:val="0"/>
              <w:spacing w:beforeLines="0" w:before="120" w:after="0" w:afterAutospacing="0"/>
              <w:rPr>
                <w:b w:val="0"/>
                <w:sz w:val="22"/>
              </w:rPr>
            </w:pPr>
            <w:r w:rsidRPr="00522BEB">
              <w:rPr>
                <w:b w:val="0"/>
                <w:sz w:val="22"/>
              </w:rPr>
              <w:t>Antenna configuration</w:t>
            </w:r>
          </w:p>
        </w:tc>
        <w:tc>
          <w:tcPr>
            <w:tcW w:w="2753" w:type="dxa"/>
            <w:shd w:val="clear" w:color="auto" w:fill="auto"/>
          </w:tcPr>
          <w:p w14:paraId="3DBC208E" w14:textId="745D94DE" w:rsidR="00126F6E" w:rsidRPr="00522BEB" w:rsidRDefault="00126F6E" w:rsidP="00601374">
            <w:pPr>
              <w:pStyle w:val="LGTdoc1"/>
              <w:kinsoku w:val="0"/>
              <w:overflowPunct w:val="0"/>
              <w:spacing w:beforeLines="0" w:before="120" w:after="0" w:afterAutospacing="0"/>
              <w:rPr>
                <w:b w:val="0"/>
                <w:sz w:val="22"/>
              </w:rPr>
            </w:pPr>
            <w:r w:rsidRPr="00522BEB">
              <w:rPr>
                <w:b w:val="0"/>
                <w:sz w:val="22"/>
              </w:rPr>
              <w:t>4x4</w:t>
            </w:r>
          </w:p>
        </w:tc>
      </w:tr>
      <w:tr w:rsidR="00126F6E" w14:paraId="62CFE503" w14:textId="77777777" w:rsidTr="00522BEB">
        <w:trPr>
          <w:trHeight w:val="264"/>
          <w:jc w:val="center"/>
        </w:trPr>
        <w:tc>
          <w:tcPr>
            <w:tcW w:w="2753" w:type="dxa"/>
            <w:shd w:val="clear" w:color="auto" w:fill="auto"/>
          </w:tcPr>
          <w:p w14:paraId="41A79C53" w14:textId="097E166D" w:rsidR="00126F6E" w:rsidRPr="00522BEB" w:rsidRDefault="00126F6E" w:rsidP="00601374">
            <w:pPr>
              <w:pStyle w:val="LGTdoc1"/>
              <w:kinsoku w:val="0"/>
              <w:overflowPunct w:val="0"/>
              <w:spacing w:beforeLines="0" w:before="120" w:after="0" w:afterAutospacing="0"/>
              <w:rPr>
                <w:b w:val="0"/>
                <w:sz w:val="22"/>
              </w:rPr>
            </w:pPr>
            <w:r w:rsidRPr="00522BEB">
              <w:rPr>
                <w:b w:val="0"/>
                <w:sz w:val="22"/>
              </w:rPr>
              <w:t>Traffic pattern burst size</w:t>
            </w:r>
          </w:p>
        </w:tc>
        <w:tc>
          <w:tcPr>
            <w:tcW w:w="2753" w:type="dxa"/>
            <w:shd w:val="clear" w:color="auto" w:fill="auto"/>
          </w:tcPr>
          <w:p w14:paraId="5624F4CB" w14:textId="64F830F5" w:rsidR="00126F6E" w:rsidRPr="00522BEB" w:rsidRDefault="00126F6E" w:rsidP="00601374">
            <w:pPr>
              <w:pStyle w:val="LGTdoc1"/>
              <w:kinsoku w:val="0"/>
              <w:overflowPunct w:val="0"/>
              <w:spacing w:beforeLines="0" w:before="120" w:after="0" w:afterAutospacing="0"/>
              <w:rPr>
                <w:b w:val="0"/>
                <w:sz w:val="22"/>
              </w:rPr>
            </w:pPr>
            <w:r w:rsidRPr="00522BEB">
              <w:rPr>
                <w:b w:val="0"/>
                <w:sz w:val="22"/>
              </w:rPr>
              <w:t>2MB</w:t>
            </w:r>
          </w:p>
        </w:tc>
      </w:tr>
      <w:tr w:rsidR="00126F6E" w14:paraId="15DD920A" w14:textId="77777777" w:rsidTr="00522BEB">
        <w:trPr>
          <w:trHeight w:val="254"/>
          <w:jc w:val="center"/>
        </w:trPr>
        <w:tc>
          <w:tcPr>
            <w:tcW w:w="2753" w:type="dxa"/>
            <w:shd w:val="clear" w:color="auto" w:fill="auto"/>
          </w:tcPr>
          <w:p w14:paraId="2E4A6D49" w14:textId="363F6774" w:rsidR="00126F6E" w:rsidRPr="00522BEB" w:rsidRDefault="00126F6E" w:rsidP="00601374">
            <w:pPr>
              <w:pStyle w:val="LGTdoc1"/>
              <w:kinsoku w:val="0"/>
              <w:overflowPunct w:val="0"/>
              <w:spacing w:beforeLines="0" w:before="120" w:after="0" w:afterAutospacing="0"/>
              <w:rPr>
                <w:b w:val="0"/>
                <w:sz w:val="22"/>
              </w:rPr>
            </w:pPr>
            <w:r w:rsidRPr="00522BEB">
              <w:rPr>
                <w:b w:val="0"/>
                <w:sz w:val="22"/>
              </w:rPr>
              <w:t xml:space="preserve">ED Threshold </w:t>
            </w:r>
          </w:p>
        </w:tc>
        <w:tc>
          <w:tcPr>
            <w:tcW w:w="2753" w:type="dxa"/>
            <w:shd w:val="clear" w:color="auto" w:fill="auto"/>
          </w:tcPr>
          <w:p w14:paraId="784F50D9" w14:textId="7E4D824B" w:rsidR="00126F6E" w:rsidRPr="00522BEB" w:rsidRDefault="00126F6E" w:rsidP="00601374">
            <w:pPr>
              <w:pStyle w:val="LGTdoc1"/>
              <w:kinsoku w:val="0"/>
              <w:overflowPunct w:val="0"/>
              <w:spacing w:beforeLines="0" w:before="120" w:after="0" w:afterAutospacing="0"/>
              <w:rPr>
                <w:b w:val="0"/>
                <w:sz w:val="22"/>
              </w:rPr>
            </w:pPr>
            <w:r w:rsidRPr="00522BEB">
              <w:rPr>
                <w:b w:val="0"/>
                <w:sz w:val="22"/>
              </w:rPr>
              <w:t>-72dBm</w:t>
            </w:r>
          </w:p>
        </w:tc>
      </w:tr>
    </w:tbl>
    <w:p w14:paraId="402C172F" w14:textId="540EA285" w:rsidR="00814CFC" w:rsidRDefault="00814CFC" w:rsidP="00601374">
      <w:pPr>
        <w:pStyle w:val="LGTdoc1"/>
        <w:kinsoku w:val="0"/>
        <w:overflowPunct w:val="0"/>
        <w:spacing w:beforeLines="0" w:before="120" w:after="0" w:afterAutospacing="0"/>
        <w:rPr>
          <w:b w:val="0"/>
          <w:sz w:val="20"/>
        </w:rPr>
      </w:pPr>
    </w:p>
    <w:p w14:paraId="0DDF3D37" w14:textId="748DB43F" w:rsidR="00726473" w:rsidRPr="0099677A" w:rsidRDefault="00803387" w:rsidP="00601374">
      <w:pPr>
        <w:pStyle w:val="LGTdoc1"/>
        <w:kinsoku w:val="0"/>
        <w:overflowPunct w:val="0"/>
        <w:spacing w:beforeLines="0" w:before="120" w:after="0" w:afterAutospacing="0"/>
        <w:rPr>
          <w:b w:val="0"/>
          <w:sz w:val="20"/>
        </w:rPr>
      </w:pPr>
      <w:r>
        <w:rPr>
          <w:b w:val="0"/>
          <w:sz w:val="20"/>
        </w:rPr>
        <w:t>We also note that t</w:t>
      </w:r>
      <w:r w:rsidR="00CC3D96">
        <w:rPr>
          <w:b w:val="0"/>
          <w:sz w:val="20"/>
        </w:rPr>
        <w:t>he CQI reports from multiple UEs can also help gNB determine UEs that may not be seeing interference and thus it can select users to schedule in rest of the TxOP to achieve better system efficiency. Similar benefits also apply for UL scheduling. For example</w:t>
      </w:r>
      <w:r w:rsidR="00FB200A">
        <w:rPr>
          <w:b w:val="0"/>
          <w:sz w:val="20"/>
        </w:rPr>
        <w:t>,</w:t>
      </w:r>
      <w:r w:rsidR="00CC3D96">
        <w:rPr>
          <w:b w:val="0"/>
          <w:sz w:val="20"/>
        </w:rPr>
        <w:t xml:space="preserve"> if multiple UEs are scheduled </w:t>
      </w:r>
      <w:r w:rsidR="00FB200A">
        <w:rPr>
          <w:b w:val="0"/>
          <w:sz w:val="20"/>
        </w:rPr>
        <w:t xml:space="preserve">in UL </w:t>
      </w:r>
      <w:r w:rsidR="00CC3D96">
        <w:rPr>
          <w:b w:val="0"/>
          <w:sz w:val="20"/>
        </w:rPr>
        <w:t>but one of them doe</w:t>
      </w:r>
      <w:r w:rsidR="00847992">
        <w:rPr>
          <w:b w:val="0"/>
          <w:sz w:val="20"/>
        </w:rPr>
        <w:t>s</w:t>
      </w:r>
      <w:r w:rsidR="00CC3D96">
        <w:rPr>
          <w:b w:val="0"/>
          <w:sz w:val="20"/>
        </w:rPr>
        <w:t>n</w:t>
      </w:r>
      <w:r w:rsidR="00847992">
        <w:rPr>
          <w:b w:val="0"/>
          <w:sz w:val="20"/>
        </w:rPr>
        <w:t>’</w:t>
      </w:r>
      <w:r w:rsidR="00CC3D96">
        <w:rPr>
          <w:b w:val="0"/>
          <w:sz w:val="20"/>
        </w:rPr>
        <w:t xml:space="preserve">t transmit in UL </w:t>
      </w:r>
      <w:r w:rsidR="00847992">
        <w:rPr>
          <w:b w:val="0"/>
          <w:sz w:val="20"/>
        </w:rPr>
        <w:t>as it did not pass</w:t>
      </w:r>
      <w:r w:rsidR="00CC3D96">
        <w:rPr>
          <w:b w:val="0"/>
          <w:sz w:val="20"/>
        </w:rPr>
        <w:t xml:space="preserve"> LBT, </w:t>
      </w:r>
      <w:r w:rsidR="00847992">
        <w:rPr>
          <w:b w:val="0"/>
          <w:sz w:val="20"/>
        </w:rPr>
        <w:t xml:space="preserve">gNB can allocate those resources to other UEs in subsequent grants in the same TxOP. </w:t>
      </w:r>
      <w:r w:rsidR="00814CFC">
        <w:rPr>
          <w:b w:val="0"/>
          <w:sz w:val="20"/>
        </w:rPr>
        <w:t>Thus</w:t>
      </w:r>
      <w:r w:rsidR="007B0C5F">
        <w:rPr>
          <w:b w:val="0"/>
          <w:sz w:val="20"/>
        </w:rPr>
        <w:t>,</w:t>
      </w:r>
      <w:r w:rsidR="00814CFC">
        <w:rPr>
          <w:b w:val="0"/>
          <w:sz w:val="20"/>
        </w:rPr>
        <w:t xml:space="preserve"> support for multiple switching points in a TxOP</w:t>
      </w:r>
      <w:r>
        <w:rPr>
          <w:b w:val="0"/>
          <w:sz w:val="20"/>
        </w:rPr>
        <w:t xml:space="preserve"> also</w:t>
      </w:r>
      <w:r w:rsidR="00814CFC">
        <w:rPr>
          <w:b w:val="0"/>
          <w:sz w:val="20"/>
        </w:rPr>
        <w:t xml:space="preserve"> enables better user selection for scheduling.</w:t>
      </w:r>
      <w:r w:rsidR="00E02E59" w:rsidRPr="0099677A">
        <w:rPr>
          <w:b w:val="0"/>
          <w:sz w:val="20"/>
        </w:rPr>
        <w:t xml:space="preserve"> </w:t>
      </w:r>
      <w:r w:rsidR="00E03C00">
        <w:rPr>
          <w:b w:val="0"/>
          <w:sz w:val="20"/>
        </w:rPr>
        <w:t>Note that t</w:t>
      </w:r>
      <w:r w:rsidR="007B0C5F">
        <w:rPr>
          <w:b w:val="0"/>
          <w:sz w:val="20"/>
        </w:rPr>
        <w:t xml:space="preserve">he simulation results above do not consider </w:t>
      </w:r>
      <w:r w:rsidR="00E03C00">
        <w:rPr>
          <w:b w:val="0"/>
          <w:sz w:val="20"/>
        </w:rPr>
        <w:t xml:space="preserve">performance improvements from </w:t>
      </w:r>
      <w:r w:rsidR="007B0C5F">
        <w:rPr>
          <w:b w:val="0"/>
          <w:sz w:val="20"/>
        </w:rPr>
        <w:t>this aspect.</w:t>
      </w:r>
    </w:p>
    <w:p w14:paraId="7A62B4E4" w14:textId="72A5AB1E" w:rsidR="00594582" w:rsidRDefault="007B0C5F" w:rsidP="00601374">
      <w:pPr>
        <w:pStyle w:val="LGTdoc1"/>
        <w:kinsoku w:val="0"/>
        <w:overflowPunct w:val="0"/>
        <w:spacing w:beforeLines="0" w:before="120" w:after="0" w:afterAutospacing="0"/>
        <w:rPr>
          <w:sz w:val="20"/>
        </w:rPr>
      </w:pPr>
      <w:bookmarkStart w:id="17" w:name="p5"/>
      <w:r w:rsidRPr="007B0C5F">
        <w:rPr>
          <w:sz w:val="20"/>
        </w:rPr>
        <w:t xml:space="preserve">Observation </w:t>
      </w:r>
      <w:r w:rsidRPr="007B0C5F">
        <w:rPr>
          <w:sz w:val="20"/>
        </w:rPr>
        <w:fldChar w:fldCharType="begin"/>
      </w:r>
      <w:r w:rsidRPr="007B0C5F">
        <w:rPr>
          <w:sz w:val="20"/>
        </w:rPr>
        <w:instrText xml:space="preserve"> seq prop </w:instrText>
      </w:r>
      <w:r w:rsidRPr="007B0C5F">
        <w:rPr>
          <w:sz w:val="20"/>
        </w:rPr>
        <w:fldChar w:fldCharType="separate"/>
      </w:r>
      <w:r w:rsidR="0075101C">
        <w:rPr>
          <w:noProof/>
          <w:sz w:val="20"/>
        </w:rPr>
        <w:t>5</w:t>
      </w:r>
      <w:r w:rsidRPr="007B0C5F">
        <w:rPr>
          <w:sz w:val="20"/>
        </w:rPr>
        <w:fldChar w:fldCharType="end"/>
      </w:r>
      <w:r w:rsidR="00847992">
        <w:rPr>
          <w:sz w:val="20"/>
        </w:rPr>
        <w:t xml:space="preserve">: Multiple switching points </w:t>
      </w:r>
      <w:r w:rsidR="00814CFC">
        <w:rPr>
          <w:sz w:val="20"/>
        </w:rPr>
        <w:t xml:space="preserve">in a TxOP </w:t>
      </w:r>
      <w:r w:rsidR="00847992">
        <w:rPr>
          <w:sz w:val="20"/>
        </w:rPr>
        <w:t>enable</w:t>
      </w:r>
      <w:r w:rsidR="004B322B">
        <w:rPr>
          <w:sz w:val="20"/>
        </w:rPr>
        <w:t>s</w:t>
      </w:r>
      <w:r w:rsidR="00847992">
        <w:rPr>
          <w:sz w:val="20"/>
        </w:rPr>
        <w:t xml:space="preserve"> faster link adaptation</w:t>
      </w:r>
      <w:r w:rsidR="004B322B">
        <w:rPr>
          <w:sz w:val="20"/>
        </w:rPr>
        <w:t xml:space="preserve"> and better user selection</w:t>
      </w:r>
      <w:r w:rsidR="00847992">
        <w:rPr>
          <w:sz w:val="20"/>
        </w:rPr>
        <w:t xml:space="preserve"> leading</w:t>
      </w:r>
      <w:r w:rsidR="004B322B">
        <w:rPr>
          <w:sz w:val="20"/>
        </w:rPr>
        <w:t xml:space="preserve"> </w:t>
      </w:r>
      <w:r w:rsidR="00847992">
        <w:rPr>
          <w:sz w:val="20"/>
        </w:rPr>
        <w:t xml:space="preserve">to </w:t>
      </w:r>
      <w:r w:rsidR="00803387">
        <w:rPr>
          <w:sz w:val="20"/>
        </w:rPr>
        <w:t xml:space="preserve">significantly </w:t>
      </w:r>
      <w:r w:rsidR="00847992">
        <w:rPr>
          <w:sz w:val="20"/>
        </w:rPr>
        <w:t>improved system efficiency</w:t>
      </w:r>
    </w:p>
    <w:bookmarkEnd w:id="17"/>
    <w:p w14:paraId="0698ED75" w14:textId="77777777" w:rsidR="002236FA" w:rsidRDefault="002236FA" w:rsidP="00601374">
      <w:pPr>
        <w:kinsoku w:val="0"/>
        <w:wordWrap/>
        <w:overflowPunct w:val="0"/>
      </w:pPr>
    </w:p>
    <w:p w14:paraId="2965B26A" w14:textId="2A04F845" w:rsidR="002236FA" w:rsidRPr="002236FA" w:rsidRDefault="002236FA" w:rsidP="00601374">
      <w:pPr>
        <w:pStyle w:val="LGTdoc1"/>
        <w:kinsoku w:val="0"/>
        <w:overflowPunct w:val="0"/>
        <w:spacing w:beforeLines="0" w:before="120" w:after="0" w:afterAutospacing="0"/>
        <w:rPr>
          <w:b w:val="0"/>
          <w:sz w:val="20"/>
        </w:rPr>
      </w:pPr>
      <w:r w:rsidRPr="002236FA">
        <w:rPr>
          <w:b w:val="0"/>
          <w:sz w:val="20"/>
        </w:rPr>
        <w:t xml:space="preserve">Based on the observations above we should strive to support the NR HARQ timelines and fast CSI </w:t>
      </w:r>
      <w:r>
        <w:rPr>
          <w:b w:val="0"/>
          <w:sz w:val="20"/>
        </w:rPr>
        <w:t>feedback</w:t>
      </w:r>
      <w:r w:rsidRPr="002236FA">
        <w:rPr>
          <w:b w:val="0"/>
          <w:sz w:val="20"/>
        </w:rPr>
        <w:t xml:space="preserve"> in NR-U despite it requiring multiple switches between DL and UL. Depending on the time between the DL and UL switches, the feedback and following DL transmissions may not need any LBT gaps. Similar considerations apply for UL HARQ operation. Allowing grants between UL slots in TxOP provides gNB more scheduling flexibility such as for adapting the rate to changing interference conditions. We hence make the following proposal:</w:t>
      </w:r>
    </w:p>
    <w:p w14:paraId="3723CD0B" w14:textId="77777777" w:rsidR="002236FA" w:rsidRPr="002236FA" w:rsidRDefault="002236FA" w:rsidP="00601374">
      <w:pPr>
        <w:pStyle w:val="LGTdoc1"/>
        <w:kinsoku w:val="0"/>
        <w:overflowPunct w:val="0"/>
        <w:spacing w:beforeLines="0" w:before="120" w:after="0" w:afterAutospacing="0"/>
        <w:rPr>
          <w:b w:val="0"/>
          <w:sz w:val="20"/>
        </w:rPr>
      </w:pPr>
    </w:p>
    <w:p w14:paraId="6AC04E76" w14:textId="30DDAB2A" w:rsidR="002236FA" w:rsidRPr="002236FA" w:rsidRDefault="002236FA" w:rsidP="00601374">
      <w:pPr>
        <w:pStyle w:val="LGTdoc1"/>
        <w:kinsoku w:val="0"/>
        <w:overflowPunct w:val="0"/>
        <w:spacing w:beforeLines="0" w:before="120" w:after="0" w:afterAutospacing="0"/>
        <w:rPr>
          <w:sz w:val="20"/>
        </w:rPr>
      </w:pPr>
      <w:bookmarkStart w:id="18" w:name="p6"/>
      <w:r>
        <w:rPr>
          <w:sz w:val="20"/>
        </w:rPr>
        <w:t>Proposal</w:t>
      </w:r>
      <w:r w:rsidRPr="007B0C5F">
        <w:rPr>
          <w:sz w:val="20"/>
        </w:rPr>
        <w:t xml:space="preserve"> </w:t>
      </w:r>
      <w:r w:rsidRPr="007B0C5F">
        <w:rPr>
          <w:sz w:val="20"/>
        </w:rPr>
        <w:fldChar w:fldCharType="begin"/>
      </w:r>
      <w:r w:rsidRPr="007B0C5F">
        <w:rPr>
          <w:sz w:val="20"/>
        </w:rPr>
        <w:instrText xml:space="preserve"> seq prop </w:instrText>
      </w:r>
      <w:r w:rsidRPr="007B0C5F">
        <w:rPr>
          <w:sz w:val="20"/>
        </w:rPr>
        <w:fldChar w:fldCharType="separate"/>
      </w:r>
      <w:r w:rsidR="0075101C">
        <w:rPr>
          <w:noProof/>
          <w:sz w:val="20"/>
        </w:rPr>
        <w:t>6</w:t>
      </w:r>
      <w:r w:rsidRPr="007B0C5F">
        <w:rPr>
          <w:sz w:val="20"/>
        </w:rPr>
        <w:fldChar w:fldCharType="end"/>
      </w:r>
      <w:r>
        <w:rPr>
          <w:sz w:val="20"/>
        </w:rPr>
        <w:t xml:space="preserve">: </w:t>
      </w:r>
      <w:r w:rsidRPr="002236FA">
        <w:rPr>
          <w:sz w:val="20"/>
        </w:rPr>
        <w:t>Switches between DL and UL for exchange of control information during data transmission should be supported. The switching should not require any LBT when the gap is within the regulatory requirements. This includes</w:t>
      </w:r>
    </w:p>
    <w:p w14:paraId="6E8EF628" w14:textId="687EDC74" w:rsidR="002236FA" w:rsidRPr="002236FA" w:rsidRDefault="002236FA" w:rsidP="00601374">
      <w:pPr>
        <w:pStyle w:val="LGTdoc1"/>
        <w:numPr>
          <w:ilvl w:val="0"/>
          <w:numId w:val="37"/>
        </w:numPr>
        <w:kinsoku w:val="0"/>
        <w:overflowPunct w:val="0"/>
        <w:spacing w:beforeLines="0" w:before="120" w:after="0" w:afterAutospacing="0"/>
        <w:rPr>
          <w:sz w:val="20"/>
        </w:rPr>
      </w:pPr>
      <w:r w:rsidRPr="002236FA">
        <w:rPr>
          <w:sz w:val="20"/>
        </w:rPr>
        <w:t>UCI transmission such as for HARQ ACK</w:t>
      </w:r>
      <w:r w:rsidR="0010685B">
        <w:rPr>
          <w:sz w:val="20"/>
        </w:rPr>
        <w:t>/CSI feedback</w:t>
      </w:r>
      <w:r w:rsidRPr="002236FA">
        <w:rPr>
          <w:sz w:val="20"/>
        </w:rPr>
        <w:t xml:space="preserve"> between DL slots carrying PDCCH/PDSCH</w:t>
      </w:r>
    </w:p>
    <w:p w14:paraId="7D864EF1" w14:textId="77777777" w:rsidR="002236FA" w:rsidRPr="002236FA" w:rsidRDefault="002236FA" w:rsidP="00601374">
      <w:pPr>
        <w:pStyle w:val="LGTdoc1"/>
        <w:numPr>
          <w:ilvl w:val="0"/>
          <w:numId w:val="37"/>
        </w:numPr>
        <w:kinsoku w:val="0"/>
        <w:overflowPunct w:val="0"/>
        <w:spacing w:beforeLines="0" w:before="120" w:after="0" w:afterAutospacing="0"/>
        <w:rPr>
          <w:sz w:val="20"/>
        </w:rPr>
      </w:pPr>
      <w:r w:rsidRPr="002236FA">
        <w:rPr>
          <w:sz w:val="20"/>
        </w:rPr>
        <w:t>DCI transmission such as for UL grants between UL slots carrying PUCCH/PUSCH</w:t>
      </w:r>
      <w:bookmarkEnd w:id="18"/>
    </w:p>
    <w:p w14:paraId="799841D9" w14:textId="77777777" w:rsidR="002236FA" w:rsidRDefault="002236FA" w:rsidP="00601374">
      <w:pPr>
        <w:pStyle w:val="LGTdoc1"/>
        <w:kinsoku w:val="0"/>
        <w:overflowPunct w:val="0"/>
        <w:spacing w:beforeLines="0" w:before="120" w:after="0" w:afterAutospacing="0"/>
        <w:rPr>
          <w:b w:val="0"/>
          <w:sz w:val="20"/>
        </w:rPr>
      </w:pPr>
    </w:p>
    <w:p w14:paraId="43AA500A" w14:textId="1E454F40" w:rsidR="000F7E65" w:rsidRPr="00DF0720" w:rsidRDefault="000F7E65" w:rsidP="00DF0720">
      <w:pPr>
        <w:pStyle w:val="LGTdoc1"/>
        <w:kinsoku w:val="0"/>
        <w:overflowPunct w:val="0"/>
        <w:spacing w:beforeLines="0" w:before="120" w:after="0" w:afterAutospacing="0"/>
      </w:pPr>
      <w:r w:rsidRPr="00DF0720">
        <w:rPr>
          <w:b w:val="0"/>
          <w:sz w:val="20"/>
        </w:rPr>
        <w:lastRenderedPageBreak/>
        <w:t>Note that there was a related agreement in RAN1#94bis</w:t>
      </w:r>
      <w:r w:rsidR="00A146B4">
        <w:rPr>
          <w:b w:val="0"/>
          <w:sz w:val="20"/>
        </w:rPr>
        <w:t xml:space="preserve"> [7]</w:t>
      </w:r>
      <w:r w:rsidRPr="00DF0720">
        <w:rPr>
          <w:b w:val="0"/>
          <w:sz w:val="20"/>
        </w:rPr>
        <w:t>: A gap of up to 16 us should be allowed between the end of the DL transmission and the immediate transmission of feedback to accommodate for the hardware turnaround time.</w:t>
      </w:r>
    </w:p>
    <w:p w14:paraId="2669D9B3" w14:textId="788FE753" w:rsidR="002236FA" w:rsidRDefault="002236FA" w:rsidP="00601374">
      <w:pPr>
        <w:pStyle w:val="LGTdoc1"/>
        <w:kinsoku w:val="0"/>
        <w:overflowPunct w:val="0"/>
        <w:spacing w:beforeLines="0" w:before="120" w:after="0" w:afterAutospacing="0"/>
        <w:rPr>
          <w:sz w:val="20"/>
        </w:rPr>
      </w:pPr>
    </w:p>
    <w:p w14:paraId="14F8C997" w14:textId="2E71FA26" w:rsidR="0095302F" w:rsidRDefault="00A0191B" w:rsidP="00601374">
      <w:pPr>
        <w:pStyle w:val="Heading2"/>
        <w:kinsoku w:val="0"/>
        <w:spacing w:after="0"/>
      </w:pPr>
      <w:r>
        <w:t>4</w:t>
      </w:r>
      <w:r w:rsidR="00B45132">
        <w:t xml:space="preserve">.3 </w:t>
      </w:r>
      <w:r w:rsidR="0095302F">
        <w:t>TxOP Starting/Ending Positions</w:t>
      </w:r>
    </w:p>
    <w:p w14:paraId="61F75F64" w14:textId="738BF39B" w:rsidR="0097374C" w:rsidRPr="0099677A" w:rsidRDefault="0095302F" w:rsidP="00601374">
      <w:pPr>
        <w:pStyle w:val="LGTdoc1"/>
        <w:kinsoku w:val="0"/>
        <w:overflowPunct w:val="0"/>
        <w:spacing w:beforeLines="0" w:before="120" w:after="0" w:afterAutospacing="0"/>
        <w:rPr>
          <w:b w:val="0"/>
          <w:sz w:val="20"/>
        </w:rPr>
      </w:pPr>
      <w:r w:rsidRPr="0099677A">
        <w:rPr>
          <w:b w:val="0"/>
          <w:sz w:val="20"/>
        </w:rPr>
        <w:t xml:space="preserve">Since the LBT measurement slots </w:t>
      </w:r>
      <w:r w:rsidR="003359E4" w:rsidRPr="0099677A">
        <w:rPr>
          <w:b w:val="0"/>
          <w:sz w:val="20"/>
        </w:rPr>
        <w:t>may</w:t>
      </w:r>
      <w:r w:rsidRPr="0099677A">
        <w:rPr>
          <w:b w:val="0"/>
          <w:sz w:val="20"/>
        </w:rPr>
        <w:t xml:space="preserve"> not</w:t>
      </w:r>
      <w:r w:rsidR="003359E4" w:rsidRPr="0099677A">
        <w:rPr>
          <w:b w:val="0"/>
          <w:sz w:val="20"/>
        </w:rPr>
        <w:t xml:space="preserve"> be</w:t>
      </w:r>
      <w:r w:rsidRPr="0099677A">
        <w:rPr>
          <w:b w:val="0"/>
          <w:sz w:val="20"/>
        </w:rPr>
        <w:t xml:space="preserve"> </w:t>
      </w:r>
      <w:r w:rsidR="0087291E" w:rsidRPr="0099677A">
        <w:rPr>
          <w:b w:val="0"/>
          <w:sz w:val="20"/>
        </w:rPr>
        <w:t xml:space="preserve">aligned with </w:t>
      </w:r>
      <w:r w:rsidRPr="0099677A">
        <w:rPr>
          <w:b w:val="0"/>
          <w:sz w:val="20"/>
        </w:rPr>
        <w:t xml:space="preserve">the NR slot boundaries, on many occasions the LBT process may succeed </w:t>
      </w:r>
      <w:r w:rsidR="0087291E" w:rsidRPr="0099677A">
        <w:rPr>
          <w:b w:val="0"/>
          <w:sz w:val="20"/>
        </w:rPr>
        <w:t>between</w:t>
      </w:r>
      <w:r w:rsidRPr="0099677A">
        <w:rPr>
          <w:b w:val="0"/>
          <w:sz w:val="20"/>
        </w:rPr>
        <w:t xml:space="preserve"> </w:t>
      </w:r>
      <w:r w:rsidR="0087291E" w:rsidRPr="0099677A">
        <w:rPr>
          <w:b w:val="0"/>
          <w:sz w:val="20"/>
        </w:rPr>
        <w:t xml:space="preserve">NR </w:t>
      </w:r>
      <w:r w:rsidRPr="0099677A">
        <w:rPr>
          <w:b w:val="0"/>
          <w:sz w:val="20"/>
        </w:rPr>
        <w:t>slot boundar</w:t>
      </w:r>
      <w:r w:rsidR="0087291E" w:rsidRPr="0099677A">
        <w:rPr>
          <w:b w:val="0"/>
          <w:sz w:val="20"/>
        </w:rPr>
        <w:t>ies</w:t>
      </w:r>
      <w:r w:rsidRPr="0099677A">
        <w:rPr>
          <w:b w:val="0"/>
          <w:sz w:val="20"/>
        </w:rPr>
        <w:t xml:space="preserve">. If the TxOP starting positions are limited to slot boundaries this could result in significant wastage of the TxOP resources as shown in </w:t>
      </w:r>
      <w:r w:rsidR="004E1B19">
        <w:rPr>
          <w:b w:val="0"/>
          <w:sz w:val="20"/>
        </w:rPr>
        <w:fldChar w:fldCharType="begin"/>
      </w:r>
      <w:r w:rsidR="004E1B19">
        <w:rPr>
          <w:b w:val="0"/>
          <w:sz w:val="20"/>
        </w:rPr>
        <w:instrText xml:space="preserve"> REF _Ref513643387  \* MERGEFORMAT </w:instrText>
      </w:r>
      <w:r w:rsidR="004E1B19">
        <w:rPr>
          <w:b w:val="0"/>
          <w:sz w:val="20"/>
        </w:rPr>
        <w:fldChar w:fldCharType="separate"/>
      </w:r>
      <w:r w:rsidR="0075101C" w:rsidRPr="0075101C">
        <w:rPr>
          <w:b w:val="0"/>
          <w:sz w:val="20"/>
        </w:rPr>
        <w:t xml:space="preserve">Figure </w:t>
      </w:r>
      <w:r w:rsidR="0075101C" w:rsidRPr="0075101C">
        <w:rPr>
          <w:b w:val="0"/>
          <w:sz w:val="20"/>
        </w:rPr>
        <w:t>7</w:t>
      </w:r>
      <w:r w:rsidR="004E1B19">
        <w:rPr>
          <w:b w:val="0"/>
          <w:sz w:val="20"/>
        </w:rPr>
        <w:fldChar w:fldCharType="end"/>
      </w:r>
      <w:r w:rsidR="00847AB0" w:rsidRPr="0099677A">
        <w:rPr>
          <w:b w:val="0"/>
          <w:sz w:val="20"/>
        </w:rPr>
        <w:t xml:space="preserve"> </w:t>
      </w:r>
      <w:r w:rsidRPr="0099677A">
        <w:rPr>
          <w:b w:val="0"/>
          <w:sz w:val="20"/>
        </w:rPr>
        <w:t xml:space="preserve">below. </w:t>
      </w:r>
    </w:p>
    <w:p w14:paraId="19DCEC71" w14:textId="3BBF782D" w:rsidR="003359E4" w:rsidRDefault="00FB43ED" w:rsidP="00601374">
      <w:pPr>
        <w:pStyle w:val="ListParagraph"/>
        <w:keepNext/>
        <w:kinsoku w:val="0"/>
        <w:overflowPunct w:val="0"/>
        <w:ind w:leftChars="0" w:left="0"/>
        <w:jc w:val="center"/>
      </w:pPr>
      <w:r>
        <w:rPr>
          <w:rFonts w:ascii="Arial" w:hAnsi="Arial" w:cs="Arial"/>
        </w:rPr>
        <w:object w:dxaOrig="12767" w:dyaOrig="3285" w14:anchorId="6CD56B04">
          <v:shape id="_x0000_i1028" type="#_x0000_t75" style="width:342pt;height:90pt" o:ole="">
            <v:imagedata r:id="rId22" o:title=""/>
          </v:shape>
          <o:OLEObject Type="Embed" ProgID="Visio.Drawing.11" ShapeID="_x0000_i1028" DrawAspect="Content" ObjectID="_1602664793" r:id="rId23"/>
        </w:object>
      </w:r>
    </w:p>
    <w:p w14:paraId="4197F3E1" w14:textId="3DC9E509" w:rsidR="003359E4" w:rsidRPr="0099677A" w:rsidRDefault="003359E4" w:rsidP="00601374">
      <w:pPr>
        <w:pStyle w:val="Caption"/>
        <w:kinsoku w:val="0"/>
        <w:spacing w:after="0"/>
        <w:jc w:val="center"/>
        <w:rPr>
          <w:rFonts w:ascii="Calibri" w:eastAsia="Times New Roman" w:hAnsi="Calibri" w:cs="Calibri"/>
          <w:color w:val="000000"/>
        </w:rPr>
      </w:pPr>
      <w:bookmarkStart w:id="19" w:name="_Ref513643387"/>
      <w:r>
        <w:t xml:space="preserve">Figure </w:t>
      </w:r>
      <w:r>
        <w:fldChar w:fldCharType="begin"/>
      </w:r>
      <w:r>
        <w:instrText xml:space="preserve"> SEQ Figure \* ARABIC </w:instrText>
      </w:r>
      <w:r>
        <w:fldChar w:fldCharType="separate"/>
      </w:r>
      <w:r w:rsidR="0075101C">
        <w:rPr>
          <w:noProof/>
        </w:rPr>
        <w:t>7</w:t>
      </w:r>
      <w:r>
        <w:fldChar w:fldCharType="end"/>
      </w:r>
      <w:bookmarkEnd w:id="19"/>
      <w:r>
        <w:t>: Resource wastage if only full slot transmission</w:t>
      </w:r>
      <w:r w:rsidR="00FC7A26">
        <w:t>s</w:t>
      </w:r>
      <w:r>
        <w:t xml:space="preserve"> are allowed</w:t>
      </w:r>
    </w:p>
    <w:p w14:paraId="0D523AFD" w14:textId="1E02994D" w:rsidR="0095302F" w:rsidRPr="0099677A" w:rsidRDefault="0095302F" w:rsidP="00601374">
      <w:pPr>
        <w:pStyle w:val="LGTdoc1"/>
        <w:kinsoku w:val="0"/>
        <w:overflowPunct w:val="0"/>
        <w:spacing w:beforeLines="0" w:before="120" w:after="0" w:afterAutospacing="0"/>
        <w:rPr>
          <w:b w:val="0"/>
          <w:sz w:val="20"/>
        </w:rPr>
      </w:pPr>
      <w:r w:rsidRPr="0099677A">
        <w:rPr>
          <w:b w:val="0"/>
          <w:sz w:val="20"/>
        </w:rPr>
        <w:t xml:space="preserve">Similar issues were identified in LTE during design of LAA and eLAA. To reduce the </w:t>
      </w:r>
      <w:r w:rsidR="005F7851" w:rsidRPr="0099677A">
        <w:rPr>
          <w:b w:val="0"/>
          <w:sz w:val="20"/>
        </w:rPr>
        <w:t xml:space="preserve">TxOP </w:t>
      </w:r>
      <w:r w:rsidRPr="0099677A">
        <w:rPr>
          <w:b w:val="0"/>
          <w:sz w:val="20"/>
        </w:rPr>
        <w:t xml:space="preserve">resource wastage the first </w:t>
      </w:r>
      <w:r w:rsidR="00947B6C" w:rsidRPr="0099677A">
        <w:rPr>
          <w:b w:val="0"/>
          <w:sz w:val="20"/>
        </w:rPr>
        <w:t>allocation</w:t>
      </w:r>
      <w:r w:rsidR="003359E4" w:rsidRPr="0099677A">
        <w:rPr>
          <w:b w:val="0"/>
          <w:sz w:val="20"/>
        </w:rPr>
        <w:t xml:space="preserve"> in the TxOP</w:t>
      </w:r>
      <w:r w:rsidRPr="0099677A">
        <w:rPr>
          <w:b w:val="0"/>
          <w:sz w:val="20"/>
        </w:rPr>
        <w:t xml:space="preserve"> was allowed </w:t>
      </w:r>
      <w:r w:rsidR="003359E4" w:rsidRPr="0099677A">
        <w:rPr>
          <w:b w:val="0"/>
          <w:sz w:val="20"/>
        </w:rPr>
        <w:t>to be half-</w:t>
      </w:r>
      <w:r w:rsidR="0087291E" w:rsidRPr="0099677A">
        <w:rPr>
          <w:b w:val="0"/>
          <w:sz w:val="20"/>
        </w:rPr>
        <w:t>subframe</w:t>
      </w:r>
      <w:r w:rsidR="003359E4" w:rsidRPr="0099677A">
        <w:rPr>
          <w:b w:val="0"/>
          <w:sz w:val="20"/>
        </w:rPr>
        <w:t xml:space="preserve"> long i.e. first </w:t>
      </w:r>
      <w:r w:rsidR="00A90813" w:rsidRPr="0099677A">
        <w:rPr>
          <w:b w:val="0"/>
          <w:sz w:val="20"/>
        </w:rPr>
        <w:t xml:space="preserve">slot </w:t>
      </w:r>
      <w:r w:rsidR="003359E4" w:rsidRPr="0099677A">
        <w:rPr>
          <w:b w:val="0"/>
          <w:sz w:val="20"/>
        </w:rPr>
        <w:t>was allowed to start at symbol 7 as well instead of symbol 0 always</w:t>
      </w:r>
      <w:r w:rsidRPr="0099677A">
        <w:rPr>
          <w:b w:val="0"/>
          <w:sz w:val="20"/>
        </w:rPr>
        <w:t>. Similarly</w:t>
      </w:r>
      <w:r w:rsidR="00F05FC5" w:rsidRPr="0099677A">
        <w:rPr>
          <w:b w:val="0"/>
          <w:sz w:val="20"/>
        </w:rPr>
        <w:t>,</w:t>
      </w:r>
      <w:r w:rsidRPr="0099677A">
        <w:rPr>
          <w:b w:val="0"/>
          <w:sz w:val="20"/>
        </w:rPr>
        <w:t xml:space="preserve"> the </w:t>
      </w:r>
      <w:r w:rsidR="005F7851" w:rsidRPr="0099677A">
        <w:rPr>
          <w:b w:val="0"/>
          <w:sz w:val="20"/>
        </w:rPr>
        <w:t>last</w:t>
      </w:r>
      <w:r w:rsidRPr="0099677A">
        <w:rPr>
          <w:b w:val="0"/>
          <w:sz w:val="20"/>
        </w:rPr>
        <w:t xml:space="preserve"> slot was allowed to take multiple sizes</w:t>
      </w:r>
      <w:r w:rsidR="00EE53FE" w:rsidRPr="0099677A">
        <w:rPr>
          <w:b w:val="0"/>
          <w:sz w:val="20"/>
        </w:rPr>
        <w:t xml:space="preserve"> as t</w:t>
      </w:r>
      <w:r w:rsidR="0087291E" w:rsidRPr="0099677A">
        <w:rPr>
          <w:b w:val="0"/>
          <w:sz w:val="20"/>
        </w:rPr>
        <w:t>h</w:t>
      </w:r>
      <w:r w:rsidR="00EE53FE" w:rsidRPr="0099677A">
        <w:rPr>
          <w:b w:val="0"/>
          <w:sz w:val="20"/>
        </w:rPr>
        <w:t xml:space="preserve">e end of the TxOP </w:t>
      </w:r>
      <w:r w:rsidR="00947B6C" w:rsidRPr="0099677A">
        <w:rPr>
          <w:b w:val="0"/>
          <w:sz w:val="20"/>
        </w:rPr>
        <w:t xml:space="preserve">as </w:t>
      </w:r>
      <w:r w:rsidR="00EE53FE" w:rsidRPr="0099677A">
        <w:rPr>
          <w:b w:val="0"/>
          <w:sz w:val="20"/>
        </w:rPr>
        <w:t>MCOT after LBT pass may not align with a slot boundary</w:t>
      </w:r>
      <w:r w:rsidRPr="0099677A">
        <w:rPr>
          <w:b w:val="0"/>
          <w:sz w:val="20"/>
        </w:rPr>
        <w:t xml:space="preserve">. </w:t>
      </w:r>
      <w:r w:rsidR="005F7851" w:rsidRPr="0099677A">
        <w:rPr>
          <w:b w:val="0"/>
          <w:sz w:val="20"/>
        </w:rPr>
        <w:t xml:space="preserve">NR unlicensed should continue to support such a </w:t>
      </w:r>
      <w:r w:rsidR="003359E4" w:rsidRPr="0099677A">
        <w:rPr>
          <w:b w:val="0"/>
          <w:sz w:val="20"/>
        </w:rPr>
        <w:t>design</w:t>
      </w:r>
      <w:r w:rsidR="005F7851" w:rsidRPr="0099677A">
        <w:rPr>
          <w:b w:val="0"/>
          <w:sz w:val="20"/>
        </w:rPr>
        <w:t xml:space="preserve"> with multiple starting locations for the first slot and multiple ending locations </w:t>
      </w:r>
      <w:r w:rsidR="003359E4" w:rsidRPr="0099677A">
        <w:rPr>
          <w:b w:val="0"/>
          <w:sz w:val="20"/>
        </w:rPr>
        <w:t>f</w:t>
      </w:r>
      <w:r w:rsidR="005F7851" w:rsidRPr="0099677A">
        <w:rPr>
          <w:b w:val="0"/>
          <w:sz w:val="20"/>
        </w:rPr>
        <w:t>or the last slot</w:t>
      </w:r>
      <w:r w:rsidR="00FC7A26" w:rsidRPr="0099677A">
        <w:rPr>
          <w:b w:val="0"/>
          <w:sz w:val="20"/>
        </w:rPr>
        <w:t xml:space="preserve"> to allow reducing such LBT</w:t>
      </w:r>
      <w:r w:rsidR="00EE53FE" w:rsidRPr="0099677A">
        <w:rPr>
          <w:b w:val="0"/>
          <w:sz w:val="20"/>
        </w:rPr>
        <w:t>, MCOT,</w:t>
      </w:r>
      <w:r w:rsidR="00FC7A26" w:rsidRPr="0099677A">
        <w:rPr>
          <w:b w:val="0"/>
          <w:sz w:val="20"/>
        </w:rPr>
        <w:t xml:space="preserve"> and NR slot alignment overhead</w:t>
      </w:r>
      <w:r w:rsidR="005F7851" w:rsidRPr="0099677A">
        <w:rPr>
          <w:b w:val="0"/>
          <w:sz w:val="20"/>
        </w:rPr>
        <w:t xml:space="preserve">. </w:t>
      </w:r>
    </w:p>
    <w:p w14:paraId="466DB6DC" w14:textId="66EA5F40" w:rsidR="00830E76" w:rsidRDefault="0095302F" w:rsidP="00601374">
      <w:pPr>
        <w:pStyle w:val="body"/>
        <w:kinsoku w:val="0"/>
        <w:overflowPunct w:val="0"/>
        <w:spacing w:after="0"/>
      </w:pPr>
      <w:r w:rsidRPr="0099677A">
        <w:t xml:space="preserve">NR inherently already supports variable </w:t>
      </w:r>
      <w:r w:rsidR="00FC7A26" w:rsidRPr="0099677A">
        <w:t>time domain allocation</w:t>
      </w:r>
      <w:r w:rsidRPr="0099677A">
        <w:t xml:space="preserve"> sizes</w:t>
      </w:r>
      <w:r w:rsidR="005F7851" w:rsidRPr="0099677A">
        <w:t xml:space="preserve"> (e.g</w:t>
      </w:r>
      <w:r w:rsidR="006E34AE">
        <w:t>.</w:t>
      </w:r>
      <w:r w:rsidR="005F7851" w:rsidRPr="0099677A">
        <w:t xml:space="preserve"> mini slots,</w:t>
      </w:r>
      <w:r w:rsidR="00FC7A26" w:rsidRPr="0099677A">
        <w:t xml:space="preserve"> variable SCS,</w:t>
      </w:r>
      <w:r w:rsidR="005F7851" w:rsidRPr="0099677A">
        <w:t xml:space="preserve"> time domain symbol allocation support</w:t>
      </w:r>
      <w:r w:rsidR="00FC7A26" w:rsidRPr="0099677A">
        <w:t xml:space="preserve"> etc</w:t>
      </w:r>
      <w:r w:rsidR="006E34AE">
        <w:t>.</w:t>
      </w:r>
      <w:r w:rsidR="005F7851" w:rsidRPr="0099677A">
        <w:t>)</w:t>
      </w:r>
      <w:r w:rsidRPr="0099677A">
        <w:t xml:space="preserve"> hence </w:t>
      </w:r>
      <w:r w:rsidR="005F7851" w:rsidRPr="0099677A">
        <w:t>it should be able to better utilize the TxOP</w:t>
      </w:r>
      <w:r w:rsidR="00FC7A26" w:rsidRPr="0099677A">
        <w:t>. For the last slot in the TxOP particularly</w:t>
      </w:r>
      <w:r w:rsidR="00A90813" w:rsidRPr="0099677A">
        <w:t>,</w:t>
      </w:r>
      <w:r w:rsidR="00FC7A26" w:rsidRPr="0099677A">
        <w:t xml:space="preserve"> the </w:t>
      </w:r>
      <w:r w:rsidR="00A90813" w:rsidRPr="0099677A">
        <w:t xml:space="preserve">existing </w:t>
      </w:r>
      <w:r w:rsidR="00FC7A26" w:rsidRPr="0099677A">
        <w:t xml:space="preserve">NR design </w:t>
      </w:r>
      <w:r w:rsidR="00A90813" w:rsidRPr="0099677A">
        <w:t xml:space="preserve">itself </w:t>
      </w:r>
      <w:r w:rsidR="004D42B1" w:rsidRPr="0099677A">
        <w:t xml:space="preserve">should </w:t>
      </w:r>
      <w:r w:rsidR="00EE53FE" w:rsidRPr="0099677A">
        <w:t>likely be sufficient</w:t>
      </w:r>
      <w:r w:rsidR="00FC7A26" w:rsidRPr="0099677A">
        <w:t>.</w:t>
      </w:r>
      <w:r w:rsidR="005F7851" w:rsidRPr="0099677A">
        <w:t xml:space="preserve"> </w:t>
      </w:r>
      <w:r w:rsidR="00530807">
        <w:t xml:space="preserve">There has already been an agreement in RAN1#92bis to support </w:t>
      </w:r>
      <w:r w:rsidR="00EC21F7">
        <w:t xml:space="preserve">both slot and </w:t>
      </w:r>
      <w:r w:rsidR="00530807">
        <w:t>mini-slot</w:t>
      </w:r>
      <w:r w:rsidR="00EC21F7">
        <w:t xml:space="preserve"> based scheduling</w:t>
      </w:r>
      <w:r w:rsidR="00530807">
        <w:t xml:space="preserve">. </w:t>
      </w:r>
      <w:r w:rsidR="00EC21F7">
        <w:t>However, s</w:t>
      </w:r>
      <w:r w:rsidR="0093482D">
        <w:t xml:space="preserve">upport of smaller slots </w:t>
      </w:r>
      <w:r w:rsidR="008641CD">
        <w:t xml:space="preserve">and/or </w:t>
      </w:r>
      <w:r w:rsidR="0093482D">
        <w:t xml:space="preserve">using larger SCS </w:t>
      </w:r>
      <w:r w:rsidR="008641CD">
        <w:t>comes with some power penalty as well which needs to be considered</w:t>
      </w:r>
      <w:r w:rsidR="0093482D">
        <w:t>.</w:t>
      </w:r>
      <w:r w:rsidR="00EC21F7">
        <w:t xml:space="preserve"> </w:t>
      </w:r>
    </w:p>
    <w:p w14:paraId="59D84DB2" w14:textId="60071468" w:rsidR="0095302F" w:rsidRPr="0099677A" w:rsidRDefault="00830E76" w:rsidP="00601374">
      <w:pPr>
        <w:pStyle w:val="body"/>
        <w:kinsoku w:val="0"/>
        <w:overflowPunct w:val="0"/>
        <w:spacing w:after="0"/>
        <w:rPr>
          <w:b/>
        </w:rPr>
      </w:pPr>
      <w:r>
        <w:t>A</w:t>
      </w:r>
      <w:r w:rsidR="005F7851" w:rsidRPr="0099677A">
        <w:t xml:space="preserve">llowing multiple starting positions in the first slot requires the UE to monitor PDCCH more often </w:t>
      </w:r>
      <w:r w:rsidR="00FC7A26" w:rsidRPr="0099677A">
        <w:t xml:space="preserve">as shown in </w:t>
      </w:r>
      <w:r w:rsidR="004E1B19">
        <w:fldChar w:fldCharType="begin"/>
      </w:r>
      <w:r w:rsidR="004E1B19">
        <w:instrText xml:space="preserve"> REF _Ref513643424 </w:instrText>
      </w:r>
      <w:r w:rsidR="004E1B19">
        <w:fldChar w:fldCharType="separate"/>
      </w:r>
      <w:r w:rsidR="0075101C">
        <w:t xml:space="preserve">Figure </w:t>
      </w:r>
      <w:r w:rsidR="0075101C">
        <w:rPr>
          <w:noProof/>
        </w:rPr>
        <w:t>8</w:t>
      </w:r>
      <w:r w:rsidR="004E1B19">
        <w:fldChar w:fldCharType="end"/>
      </w:r>
      <w:r w:rsidR="004E1B19">
        <w:t xml:space="preserve"> </w:t>
      </w:r>
      <w:r w:rsidR="005F7851" w:rsidRPr="0099677A">
        <w:t xml:space="preserve">which comes with a power penalty. Some mechanisms can be studied that </w:t>
      </w:r>
      <w:r w:rsidR="00FC7A26" w:rsidRPr="0099677A">
        <w:t>allow multiple</w:t>
      </w:r>
      <w:r w:rsidR="005F7851" w:rsidRPr="0099677A">
        <w:t xml:space="preserve"> </w:t>
      </w:r>
      <w:r w:rsidR="00FC7A26" w:rsidRPr="0099677A">
        <w:t xml:space="preserve">starting </w:t>
      </w:r>
      <w:r w:rsidR="005F7851" w:rsidRPr="0099677A">
        <w:t>locations</w:t>
      </w:r>
      <w:r w:rsidR="00FC7A26" w:rsidRPr="0099677A">
        <w:t xml:space="preserve"> for the slot</w:t>
      </w:r>
      <w:r w:rsidR="005F7851" w:rsidRPr="0099677A">
        <w:t xml:space="preserve"> </w:t>
      </w:r>
      <w:r w:rsidR="00FC7A26" w:rsidRPr="0099677A">
        <w:t>but</w:t>
      </w:r>
      <w:r w:rsidR="005F7851" w:rsidRPr="0099677A">
        <w:t xml:space="preserve"> reduc</w:t>
      </w:r>
      <w:r w:rsidR="00FC7A26" w:rsidRPr="0099677A">
        <w:t>e</w:t>
      </w:r>
      <w:r w:rsidR="005F7851" w:rsidRPr="0099677A">
        <w:t xml:space="preserve"> the power impact </w:t>
      </w:r>
      <w:r w:rsidR="00FC7A26" w:rsidRPr="0099677A">
        <w:t>of</w:t>
      </w:r>
      <w:r w:rsidR="005F7851" w:rsidRPr="0099677A">
        <w:t xml:space="preserve"> UE monitoring </w:t>
      </w:r>
      <w:r w:rsidR="00FC7A26" w:rsidRPr="0099677A">
        <w:t xml:space="preserve">the </w:t>
      </w:r>
      <w:r w:rsidR="005F7851" w:rsidRPr="0099677A">
        <w:t xml:space="preserve">PDCCH more often. </w:t>
      </w:r>
      <w:r w:rsidR="00996BD7" w:rsidRPr="0099677A">
        <w:t xml:space="preserve"> For example</w:t>
      </w:r>
      <w:r w:rsidR="00FC7A26" w:rsidRPr="0099677A">
        <w:t>,</w:t>
      </w:r>
      <w:r w:rsidR="00996BD7" w:rsidRPr="0099677A">
        <w:t xml:space="preserve"> UE may be asked to monitor PDCCH for every mini slot prior to start of TxOP but only at slot boundary after the start of TxOP. Alternately, a wake</w:t>
      </w:r>
      <w:r w:rsidR="00EE53FE" w:rsidRPr="0099677A">
        <w:t>-</w:t>
      </w:r>
      <w:r w:rsidR="00996BD7" w:rsidRPr="0099677A">
        <w:t xml:space="preserve">up signal that can be detected with </w:t>
      </w:r>
      <w:r w:rsidR="00FC7A26" w:rsidRPr="0099677A">
        <w:t xml:space="preserve">very </w:t>
      </w:r>
      <w:r w:rsidR="00996BD7" w:rsidRPr="0099677A">
        <w:t>low power can be transmitted at the beginning of the TxOP</w:t>
      </w:r>
      <w:r w:rsidR="00FC7A26" w:rsidRPr="0099677A">
        <w:t xml:space="preserve"> so UE only monitors the wake</w:t>
      </w:r>
      <w:r w:rsidR="00EE53FE" w:rsidRPr="0099677A">
        <w:t>-</w:t>
      </w:r>
      <w:r w:rsidR="00FC7A26" w:rsidRPr="0099677A">
        <w:t>up signal outside the TxOP</w:t>
      </w:r>
      <w:r w:rsidR="00996BD7" w:rsidRPr="0099677A">
        <w:t>.</w:t>
      </w:r>
    </w:p>
    <w:p w14:paraId="79812ADF" w14:textId="44D79999" w:rsidR="003359E4" w:rsidRDefault="004F391C" w:rsidP="00601374">
      <w:pPr>
        <w:pStyle w:val="LGTdoc1"/>
        <w:keepNext/>
        <w:kinsoku w:val="0"/>
        <w:overflowPunct w:val="0"/>
        <w:spacing w:beforeLines="0" w:before="120" w:after="0" w:afterAutospacing="0"/>
        <w:jc w:val="center"/>
      </w:pPr>
      <w:r>
        <w:rPr>
          <w:rFonts w:ascii="Arial" w:hAnsi="Arial" w:cs="Arial"/>
          <w:lang w:val="en-US"/>
        </w:rPr>
        <w:object w:dxaOrig="12053" w:dyaOrig="3496" w14:anchorId="3D7A7043">
          <v:shape id="_x0000_i1029" type="#_x0000_t75" style="width:420pt;height:126pt" o:ole="">
            <v:imagedata r:id="rId24" o:title=""/>
          </v:shape>
          <o:OLEObject Type="Embed" ProgID="Visio.Drawing.11" ShapeID="_x0000_i1029" DrawAspect="Content" ObjectID="_1602664794" r:id="rId25"/>
        </w:object>
      </w:r>
    </w:p>
    <w:p w14:paraId="7228CB86" w14:textId="3F1DCAA4" w:rsidR="0095302F" w:rsidRDefault="003359E4" w:rsidP="00601374">
      <w:pPr>
        <w:pStyle w:val="Caption"/>
        <w:kinsoku w:val="0"/>
        <w:spacing w:after="0"/>
        <w:jc w:val="center"/>
      </w:pPr>
      <w:bookmarkStart w:id="20" w:name="_Ref513643424"/>
      <w:r>
        <w:t xml:space="preserve">Figure </w:t>
      </w:r>
      <w:r>
        <w:fldChar w:fldCharType="begin"/>
      </w:r>
      <w:r>
        <w:instrText xml:space="preserve"> SEQ Figure \* ARABIC </w:instrText>
      </w:r>
      <w:r>
        <w:fldChar w:fldCharType="separate"/>
      </w:r>
      <w:r w:rsidR="0075101C">
        <w:rPr>
          <w:noProof/>
        </w:rPr>
        <w:t>8</w:t>
      </w:r>
      <w:r>
        <w:fldChar w:fldCharType="end"/>
      </w:r>
      <w:bookmarkEnd w:id="20"/>
      <w:r>
        <w:t>: PDCCH monitoring with multiple starting positions for TxOP</w:t>
      </w:r>
    </w:p>
    <w:p w14:paraId="6D8E7828" w14:textId="51442DDE" w:rsidR="00594582" w:rsidRDefault="00594582" w:rsidP="00601374">
      <w:pPr>
        <w:pStyle w:val="LGTdoc1"/>
        <w:kinsoku w:val="0"/>
        <w:overflowPunct w:val="0"/>
        <w:spacing w:beforeLines="0" w:before="120" w:after="0" w:afterAutospacing="0"/>
        <w:rPr>
          <w:sz w:val="20"/>
        </w:rPr>
      </w:pPr>
      <w:bookmarkStart w:id="21" w:name="p7"/>
      <w:r w:rsidRPr="006C212E">
        <w:rPr>
          <w:sz w:val="20"/>
        </w:rPr>
        <w:t xml:space="preserve">Proposal </w:t>
      </w:r>
      <w:r w:rsidR="006C212E">
        <w:rPr>
          <w:sz w:val="20"/>
        </w:rPr>
        <w:fldChar w:fldCharType="begin"/>
      </w:r>
      <w:r w:rsidR="006C212E">
        <w:rPr>
          <w:sz w:val="20"/>
        </w:rPr>
        <w:instrText xml:space="preserve"> seq prop </w:instrText>
      </w:r>
      <w:r w:rsidR="006C212E">
        <w:rPr>
          <w:sz w:val="20"/>
        </w:rPr>
        <w:fldChar w:fldCharType="separate"/>
      </w:r>
      <w:r w:rsidR="0075101C">
        <w:rPr>
          <w:noProof/>
          <w:sz w:val="20"/>
        </w:rPr>
        <w:t>7</w:t>
      </w:r>
      <w:r w:rsidR="006C212E">
        <w:rPr>
          <w:sz w:val="20"/>
        </w:rPr>
        <w:fldChar w:fldCharType="end"/>
      </w:r>
      <w:r w:rsidRPr="006C212E">
        <w:rPr>
          <w:sz w:val="20"/>
        </w:rPr>
        <w:t>: Consider techniques such as use of wake</w:t>
      </w:r>
      <w:r w:rsidR="00EE53FE" w:rsidRPr="006C212E">
        <w:rPr>
          <w:sz w:val="20"/>
        </w:rPr>
        <w:t>-</w:t>
      </w:r>
      <w:r w:rsidRPr="006C212E">
        <w:rPr>
          <w:sz w:val="20"/>
        </w:rPr>
        <w:t>up signal to reduce power consumption impact of allowing multiple start locations for a TxOP</w:t>
      </w:r>
    </w:p>
    <w:bookmarkEnd w:id="21"/>
    <w:p w14:paraId="3A28290B" w14:textId="77777777" w:rsidR="005B39FE" w:rsidRDefault="005B39FE" w:rsidP="005B39FE">
      <w:pPr>
        <w:kinsoku w:val="0"/>
        <w:wordWrap/>
        <w:overflowPunct w:val="0"/>
        <w:autoSpaceDE/>
        <w:autoSpaceDN/>
        <w:rPr>
          <w:rFonts w:ascii="Times New Roman"/>
          <w:snapToGrid w:val="0"/>
          <w:kern w:val="0"/>
          <w:szCs w:val="20"/>
          <w:lang w:val="en-GB"/>
        </w:rPr>
      </w:pPr>
    </w:p>
    <w:p w14:paraId="45038E64" w14:textId="020D96F2" w:rsidR="005B39FE" w:rsidRPr="00DA36D5" w:rsidRDefault="00CB7AFB" w:rsidP="00DF0720">
      <w:pPr>
        <w:kinsoku w:val="0"/>
        <w:wordWrap/>
        <w:overflowPunct w:val="0"/>
        <w:autoSpaceDE/>
        <w:autoSpaceDN/>
        <w:rPr>
          <w:rFonts w:ascii="Times New Roman"/>
        </w:rPr>
      </w:pPr>
      <w:r w:rsidRPr="00DF0720">
        <w:rPr>
          <w:rFonts w:ascii="Times New Roman"/>
          <w:snapToGrid w:val="0"/>
          <w:kern w:val="0"/>
          <w:szCs w:val="20"/>
          <w:lang w:val="en-GB"/>
        </w:rPr>
        <w:t xml:space="preserve">Another challenge with the multiple starting location is that the gNB or UE (in case of UL allocation with multiple starting position options) doesn’t know beforehand if it </w:t>
      </w:r>
      <w:r w:rsidR="00936958" w:rsidRPr="00DF0720">
        <w:rPr>
          <w:rFonts w:ascii="Times New Roman"/>
          <w:snapToGrid w:val="0"/>
          <w:kern w:val="0"/>
          <w:szCs w:val="20"/>
          <w:lang w:val="en-GB"/>
        </w:rPr>
        <w:t xml:space="preserve">has </w:t>
      </w:r>
      <w:r w:rsidRPr="00DF0720">
        <w:rPr>
          <w:rFonts w:ascii="Times New Roman"/>
          <w:snapToGrid w:val="0"/>
          <w:kern w:val="0"/>
          <w:szCs w:val="20"/>
          <w:lang w:val="en-GB"/>
        </w:rPr>
        <w:t xml:space="preserve">a full slot </w:t>
      </w:r>
      <w:r w:rsidR="00936958" w:rsidRPr="00DF0720">
        <w:rPr>
          <w:rFonts w:ascii="Times New Roman"/>
          <w:snapToGrid w:val="0"/>
          <w:kern w:val="0"/>
          <w:szCs w:val="20"/>
          <w:lang w:val="en-GB"/>
        </w:rPr>
        <w:t>available</w:t>
      </w:r>
      <w:r w:rsidRPr="00DF0720">
        <w:rPr>
          <w:rFonts w:ascii="Times New Roman"/>
          <w:snapToGrid w:val="0"/>
          <w:kern w:val="0"/>
          <w:szCs w:val="20"/>
          <w:lang w:val="en-GB"/>
        </w:rPr>
        <w:t xml:space="preserve"> or </w:t>
      </w:r>
      <w:r w:rsidR="00936958" w:rsidRPr="00DF0720">
        <w:rPr>
          <w:rFonts w:ascii="Times New Roman"/>
          <w:snapToGrid w:val="0"/>
          <w:kern w:val="0"/>
          <w:szCs w:val="20"/>
          <w:lang w:val="en-GB"/>
        </w:rPr>
        <w:t xml:space="preserve">a </w:t>
      </w:r>
      <w:r w:rsidRPr="00DF0720">
        <w:rPr>
          <w:rFonts w:ascii="Times New Roman"/>
          <w:snapToGrid w:val="0"/>
          <w:kern w:val="0"/>
          <w:szCs w:val="20"/>
          <w:lang w:val="en-GB"/>
        </w:rPr>
        <w:t xml:space="preserve">partial slot </w:t>
      </w:r>
      <w:r w:rsidR="00936958" w:rsidRPr="00DF0720">
        <w:rPr>
          <w:rFonts w:ascii="Times New Roman"/>
          <w:snapToGrid w:val="0"/>
          <w:kern w:val="0"/>
          <w:szCs w:val="20"/>
          <w:lang w:val="en-GB"/>
        </w:rPr>
        <w:t>/</w:t>
      </w:r>
      <w:r w:rsidRPr="00DF0720">
        <w:rPr>
          <w:rFonts w:ascii="Times New Roman"/>
          <w:snapToGrid w:val="0"/>
          <w:kern w:val="0"/>
          <w:szCs w:val="20"/>
          <w:lang w:val="en-GB"/>
        </w:rPr>
        <w:t xml:space="preserve"> mini-slot as that depends on when the LBT passes.</w:t>
      </w:r>
      <w:r>
        <w:t xml:space="preserve"> </w:t>
      </w:r>
      <w:r w:rsidR="005B39FE" w:rsidRPr="00DF0720">
        <w:rPr>
          <w:rFonts w:ascii="Times New Roman"/>
          <w:snapToGrid w:val="0"/>
          <w:kern w:val="0"/>
          <w:szCs w:val="20"/>
          <w:lang w:val="en-GB"/>
        </w:rPr>
        <w:t>In RAN1#94bis</w:t>
      </w:r>
      <w:r w:rsidR="00A146B4">
        <w:rPr>
          <w:rFonts w:ascii="Times New Roman"/>
          <w:snapToGrid w:val="0"/>
          <w:kern w:val="0"/>
          <w:szCs w:val="20"/>
          <w:lang w:val="en-GB"/>
        </w:rPr>
        <w:t xml:space="preserve"> [7]</w:t>
      </w:r>
      <w:r w:rsidR="005B39FE" w:rsidRPr="00DF0720">
        <w:rPr>
          <w:rFonts w:ascii="Times New Roman"/>
          <w:snapToGrid w:val="0"/>
          <w:kern w:val="0"/>
          <w:szCs w:val="20"/>
          <w:lang w:val="en-GB"/>
        </w:rPr>
        <w:t xml:space="preserve">, </w:t>
      </w:r>
      <w:r w:rsidR="005B39FE">
        <w:rPr>
          <w:rFonts w:ascii="Times New Roman"/>
          <w:snapToGrid w:val="0"/>
          <w:kern w:val="0"/>
          <w:szCs w:val="20"/>
          <w:lang w:val="en-GB"/>
        </w:rPr>
        <w:t>t</w:t>
      </w:r>
      <w:r w:rsidR="005B39FE" w:rsidRPr="00DF0720">
        <w:rPr>
          <w:rFonts w:ascii="Times New Roman"/>
          <w:snapToGrid w:val="0"/>
          <w:kern w:val="0"/>
          <w:szCs w:val="20"/>
          <w:lang w:val="en-GB"/>
        </w:rPr>
        <w:t>he</w:t>
      </w:r>
      <w:r w:rsidR="005B39FE" w:rsidRPr="00DA36D5">
        <w:rPr>
          <w:rFonts w:ascii="Times New Roman"/>
        </w:rPr>
        <w:t xml:space="preserve"> following options </w:t>
      </w:r>
      <w:r w:rsidR="005B39FE">
        <w:rPr>
          <w:rFonts w:ascii="Times New Roman"/>
        </w:rPr>
        <w:t>were</w:t>
      </w:r>
      <w:r w:rsidR="005B39FE" w:rsidRPr="00DA36D5">
        <w:rPr>
          <w:rFonts w:ascii="Times New Roman"/>
        </w:rPr>
        <w:t xml:space="preserve"> identified as possible candidates for PDSCH transmission in the partial slot at least for the first PDSCH(s) transmitted in the DL transmission burst.</w:t>
      </w:r>
    </w:p>
    <w:p w14:paraId="347A7649"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t>Option 1: PDSCH(s) as in Rel-15 NR</w:t>
      </w:r>
    </w:p>
    <w:p w14:paraId="59188DD5"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t>Option 2: Punctured PDSCH depending on LBT outcome</w:t>
      </w:r>
    </w:p>
    <w:p w14:paraId="1E0610E1"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lastRenderedPageBreak/>
        <w:t>Option 3: PDSCH mapping type B with durations other than 2/4/7 symbols</w:t>
      </w:r>
    </w:p>
    <w:p w14:paraId="69C23BD0"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t>Option 4: PDSCH across slot boundary</w:t>
      </w:r>
    </w:p>
    <w:p w14:paraId="5B7D7D9E"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t>FFS for signalling details, specification impact, implementation complexity</w:t>
      </w:r>
    </w:p>
    <w:p w14:paraId="7848F52E" w14:textId="77777777" w:rsidR="005B39FE" w:rsidRPr="00DA36D5" w:rsidRDefault="005B39FE" w:rsidP="00DF0720">
      <w:pPr>
        <w:numPr>
          <w:ilvl w:val="0"/>
          <w:numId w:val="27"/>
        </w:numPr>
        <w:kinsoku w:val="0"/>
        <w:wordWrap/>
        <w:overflowPunct w:val="0"/>
        <w:autoSpaceDE/>
        <w:autoSpaceDN/>
        <w:rPr>
          <w:rFonts w:ascii="Times New Roman"/>
        </w:rPr>
      </w:pPr>
      <w:r w:rsidRPr="00DA36D5">
        <w:rPr>
          <w:rFonts w:ascii="Times New Roman"/>
        </w:rPr>
        <w:t>Note: Above options are not mutually exclusive.</w:t>
      </w:r>
    </w:p>
    <w:p w14:paraId="49353272" w14:textId="0F72F553" w:rsidR="008105BD" w:rsidRDefault="005B39FE" w:rsidP="00601374">
      <w:pPr>
        <w:pStyle w:val="body"/>
        <w:kinsoku w:val="0"/>
        <w:overflowPunct w:val="0"/>
      </w:pPr>
      <w:r>
        <w:t xml:space="preserve">Some of these </w:t>
      </w:r>
      <w:r w:rsidR="00CB7AFB">
        <w:t>option</w:t>
      </w:r>
      <w:r>
        <w:t>s require</w:t>
      </w:r>
      <w:r w:rsidR="00CB7AFB">
        <w:t xml:space="preserve"> gNB/UE to pre-prepare multiple packets corresponding to the different possibilities of LBT passing. However, this involves high complexity</w:t>
      </w:r>
      <w:r w:rsidR="00C23CF8">
        <w:t xml:space="preserve"> at UE/gNB. </w:t>
      </w:r>
      <w:r>
        <w:t>Option 2</w:t>
      </w:r>
      <w:r w:rsidR="00CB7AFB">
        <w:t xml:space="preserve"> allow</w:t>
      </w:r>
      <w:r>
        <w:t>s</w:t>
      </w:r>
      <w:r w:rsidR="00CB7AFB">
        <w:t xml:space="preserve"> the UE/gNB to prepare packets for a larger number of symbols (e.g. the full slot) and puncture </w:t>
      </w:r>
      <w:r w:rsidR="00D81592">
        <w:t>some</w:t>
      </w:r>
      <w:r w:rsidR="00CB7AFB">
        <w:t xml:space="preserve"> symbols </w:t>
      </w:r>
      <w:r w:rsidR="00D81592">
        <w:t>to fit into the available portion of the slot</w:t>
      </w:r>
      <w:r w:rsidR="00A146B4">
        <w:t xml:space="preserve"> which can be done much more easily</w:t>
      </w:r>
      <w:r w:rsidR="00D81592">
        <w:t xml:space="preserve">. With CBG based HARQ </w:t>
      </w:r>
      <w:r w:rsidR="00936958">
        <w:t>operation</w:t>
      </w:r>
      <w:r w:rsidR="00D81592">
        <w:t xml:space="preserve"> the impact of the puncturing can be contained. </w:t>
      </w:r>
      <w:r>
        <w:t xml:space="preserve">We hence prefer </w:t>
      </w:r>
      <w:r w:rsidR="00DF0720">
        <w:t xml:space="preserve">option 1 and </w:t>
      </w:r>
      <w:r>
        <w:t>option 2.</w:t>
      </w:r>
    </w:p>
    <w:p w14:paraId="612A5BF2" w14:textId="3E51E133" w:rsidR="00D81592" w:rsidRDefault="00D81592" w:rsidP="00601374">
      <w:pPr>
        <w:pStyle w:val="LGTdoc1"/>
        <w:kinsoku w:val="0"/>
        <w:overflowPunct w:val="0"/>
        <w:spacing w:beforeLines="0" w:before="120" w:after="0" w:afterAutospacing="0"/>
        <w:rPr>
          <w:sz w:val="20"/>
        </w:rPr>
      </w:pPr>
      <w:bookmarkStart w:id="22" w:name="p8"/>
      <w:r w:rsidRPr="006C212E">
        <w:rPr>
          <w:sz w:val="20"/>
        </w:rPr>
        <w:t xml:space="preserve">Proposal </w:t>
      </w:r>
      <w:r>
        <w:rPr>
          <w:sz w:val="20"/>
        </w:rPr>
        <w:fldChar w:fldCharType="begin"/>
      </w:r>
      <w:r>
        <w:rPr>
          <w:sz w:val="20"/>
        </w:rPr>
        <w:instrText xml:space="preserve"> seq prop </w:instrText>
      </w:r>
      <w:r>
        <w:rPr>
          <w:sz w:val="20"/>
        </w:rPr>
        <w:fldChar w:fldCharType="separate"/>
      </w:r>
      <w:r w:rsidR="0075101C">
        <w:rPr>
          <w:noProof/>
          <w:sz w:val="20"/>
        </w:rPr>
        <w:t>8</w:t>
      </w:r>
      <w:r>
        <w:rPr>
          <w:sz w:val="20"/>
        </w:rPr>
        <w:fldChar w:fldCharType="end"/>
      </w:r>
      <w:r w:rsidRPr="006C212E">
        <w:rPr>
          <w:sz w:val="20"/>
        </w:rPr>
        <w:t xml:space="preserve">: </w:t>
      </w:r>
      <w:r>
        <w:rPr>
          <w:sz w:val="20"/>
        </w:rPr>
        <w:t xml:space="preserve">For the first data transmission after an LBT opportunity, NR-U supports rate matching of PDSCH/PUSCH for a larger number of symbols than those </w:t>
      </w:r>
      <w:r w:rsidR="008B3F05">
        <w:rPr>
          <w:sz w:val="20"/>
        </w:rPr>
        <w:t>used</w:t>
      </w:r>
      <w:r>
        <w:rPr>
          <w:sz w:val="20"/>
        </w:rPr>
        <w:t xml:space="preserve"> for data transmission in combination with symbol level puncturing</w:t>
      </w:r>
    </w:p>
    <w:bookmarkEnd w:id="22"/>
    <w:p w14:paraId="0BD27CF5" w14:textId="77777777" w:rsidR="00D81592" w:rsidRDefault="00D81592" w:rsidP="00601374">
      <w:pPr>
        <w:pStyle w:val="body"/>
        <w:kinsoku w:val="0"/>
        <w:overflowPunct w:val="0"/>
      </w:pPr>
    </w:p>
    <w:p w14:paraId="0AB2589F" w14:textId="68636C0E" w:rsidR="00B45132" w:rsidRDefault="00B45132" w:rsidP="00601374">
      <w:pPr>
        <w:pStyle w:val="Heading1"/>
        <w:kinsoku w:val="0"/>
        <w:spacing w:after="0"/>
      </w:pPr>
      <w:r>
        <w:t>TxOP Structure for FBE</w:t>
      </w:r>
    </w:p>
    <w:p w14:paraId="570C1E18" w14:textId="34D224CC" w:rsidR="00174A71" w:rsidRPr="006F4278" w:rsidRDefault="00A32931" w:rsidP="00601374">
      <w:pPr>
        <w:pStyle w:val="body"/>
        <w:kinsoku w:val="0"/>
        <w:overflowPunct w:val="0"/>
        <w:spacing w:after="0"/>
        <w:rPr>
          <w:lang w:eastAsia="en-US"/>
        </w:rPr>
      </w:pPr>
      <w:r>
        <w:t>Based on</w:t>
      </w:r>
      <w:r w:rsidR="00174A71">
        <w:t xml:space="preserve"> the regulation</w:t>
      </w:r>
      <w:r>
        <w:t>s</w:t>
      </w:r>
      <w:r w:rsidR="00174A71">
        <w:t xml:space="preserve"> in [</w:t>
      </w:r>
      <w:r w:rsidR="004633AA">
        <w:t>3</w:t>
      </w:r>
      <w:r w:rsidR="00174A71">
        <w:t xml:space="preserve">], the fixed frame period of an FBE </w:t>
      </w:r>
      <w:r>
        <w:t>is as</w:t>
      </w:r>
      <w:r w:rsidR="00174A71">
        <w:t xml:space="preserve"> shown in </w:t>
      </w:r>
      <w:r w:rsidR="00174A71">
        <w:fldChar w:fldCharType="begin"/>
      </w:r>
      <w:r w:rsidR="00174A71">
        <w:instrText xml:space="preserve"> REF _Ref510436103 \h </w:instrText>
      </w:r>
      <w:r w:rsidR="00174A71">
        <w:fldChar w:fldCharType="separate"/>
      </w:r>
      <w:r w:rsidR="0075101C">
        <w:t xml:space="preserve">Figure </w:t>
      </w:r>
      <w:r w:rsidR="0075101C">
        <w:rPr>
          <w:noProof/>
        </w:rPr>
        <w:t>9</w:t>
      </w:r>
      <w:r w:rsidR="00174A71">
        <w:fldChar w:fldCharType="end"/>
      </w:r>
      <w:r w:rsidR="00174A71">
        <w:t xml:space="preserve">. </w:t>
      </w:r>
      <w:r>
        <w:rPr>
          <w:lang w:eastAsia="en-US"/>
        </w:rPr>
        <w:t>A</w:t>
      </w:r>
      <w:r w:rsidR="006F4278">
        <w:rPr>
          <w:lang w:eastAsia="en-US"/>
        </w:rPr>
        <w:t xml:space="preserve">n initiating device (gNB) will occupy the channel at the beginning of the fixed frame period after an one-shot LBT, but within the CoT, multiple transmissions can happen </w:t>
      </w:r>
      <w:r>
        <w:rPr>
          <w:lang w:eastAsia="en-US"/>
        </w:rPr>
        <w:t>provided they pass</w:t>
      </w:r>
      <w:r w:rsidR="006F4278">
        <w:rPr>
          <w:lang w:eastAsia="en-US"/>
        </w:rPr>
        <w:t xml:space="preserve"> an one-shot LBT. </w:t>
      </w:r>
    </w:p>
    <w:p w14:paraId="7FD1C342" w14:textId="3AA0F7D8" w:rsidR="00174A71" w:rsidRDefault="0008487F" w:rsidP="00601374">
      <w:pPr>
        <w:keepNext/>
        <w:kinsoku w:val="0"/>
        <w:wordWrap/>
        <w:overflowPunct w:val="0"/>
      </w:pPr>
      <w:r w:rsidRPr="00BD2764">
        <w:rPr>
          <w:lang w:eastAsia="en-US"/>
        </w:rPr>
        <w:object w:dxaOrig="15424" w:dyaOrig="4455" w14:anchorId="05C28B84">
          <v:shape id="_x0000_i1030" type="#_x0000_t75" style="width:468pt;height:138pt" o:ole="">
            <v:imagedata r:id="rId26" o:title=""/>
          </v:shape>
          <o:OLEObject Type="Embed" ProgID="Visio.Drawing.11" ShapeID="_x0000_i1030" DrawAspect="Content" ObjectID="_1602664795" r:id="rId27"/>
        </w:object>
      </w:r>
    </w:p>
    <w:p w14:paraId="406575D2" w14:textId="5115991A" w:rsidR="00B45132" w:rsidRDefault="00174A71" w:rsidP="00601374">
      <w:pPr>
        <w:pStyle w:val="Caption"/>
        <w:kinsoku w:val="0"/>
        <w:spacing w:after="0"/>
        <w:jc w:val="center"/>
        <w:rPr>
          <w:noProof/>
        </w:rPr>
      </w:pPr>
      <w:bookmarkStart w:id="23" w:name="_Ref510436103"/>
      <w:r>
        <w:t xml:space="preserve">Figure </w:t>
      </w:r>
      <w:r>
        <w:fldChar w:fldCharType="begin"/>
      </w:r>
      <w:r>
        <w:instrText xml:space="preserve"> SEQ Figure \* ARABIC </w:instrText>
      </w:r>
      <w:r>
        <w:fldChar w:fldCharType="separate"/>
      </w:r>
      <w:r w:rsidR="0075101C">
        <w:rPr>
          <w:noProof/>
        </w:rPr>
        <w:t>9</w:t>
      </w:r>
      <w:r>
        <w:fldChar w:fldCharType="end"/>
      </w:r>
      <w:bookmarkEnd w:id="23"/>
      <w:r>
        <w:t>. Fixed Frame Period Structure</w:t>
      </w:r>
      <w:r>
        <w:rPr>
          <w:noProof/>
        </w:rPr>
        <w:t xml:space="preserve"> for FBE by Regulation</w:t>
      </w:r>
    </w:p>
    <w:p w14:paraId="7C7BA613" w14:textId="52CFC1EB" w:rsidR="006F4278" w:rsidRDefault="006F4278" w:rsidP="00601374">
      <w:pPr>
        <w:pStyle w:val="body"/>
        <w:kinsoku w:val="0"/>
        <w:overflowPunct w:val="0"/>
        <w:spacing w:after="0"/>
        <w:rPr>
          <w:lang w:eastAsia="en-US"/>
        </w:rPr>
      </w:pPr>
      <w:r>
        <w:rPr>
          <w:lang w:eastAsia="en-US"/>
        </w:rPr>
        <w:t xml:space="preserve">Because of the aligned timeline, FBE channel access mechanism is friendly for coordinated deployment where all nodes are synchronized with the same fixed frame period boundary, so all nodes (gNBs) contend for the medium at around the same time. When there </w:t>
      </w:r>
      <w:r w:rsidR="00DB6B8B">
        <w:rPr>
          <w:lang w:eastAsia="en-US"/>
        </w:rPr>
        <w:t>are</w:t>
      </w:r>
      <w:r>
        <w:rPr>
          <w:lang w:eastAsia="en-US"/>
        </w:rPr>
        <w:t xml:space="preserve"> neighboring </w:t>
      </w:r>
      <w:r w:rsidR="00DB6B8B">
        <w:rPr>
          <w:lang w:eastAsia="en-US"/>
        </w:rPr>
        <w:t>Wi</w:t>
      </w:r>
      <w:r w:rsidR="006E34AE">
        <w:rPr>
          <w:lang w:eastAsia="en-US"/>
        </w:rPr>
        <w:t>-</w:t>
      </w:r>
      <w:r w:rsidR="00DB6B8B">
        <w:rPr>
          <w:lang w:eastAsia="en-US"/>
        </w:rPr>
        <w:t xml:space="preserve">Fi </w:t>
      </w:r>
      <w:r>
        <w:rPr>
          <w:lang w:eastAsia="en-US"/>
        </w:rPr>
        <w:t>nodes or other LBE nodes, this approach may penalize the FBE nodes a</w:t>
      </w:r>
      <w:r w:rsidR="00DB6B8B">
        <w:rPr>
          <w:lang w:eastAsia="en-US"/>
        </w:rPr>
        <w:t>s</w:t>
      </w:r>
      <w:r>
        <w:rPr>
          <w:lang w:eastAsia="en-US"/>
        </w:rPr>
        <w:t xml:space="preserve"> the FBE nodes will sense the channel at a fixed location, and if that fixed location is blocked, the FBE nodes cannot access the medium. This </w:t>
      </w:r>
      <w:r w:rsidR="00DB6B8B">
        <w:rPr>
          <w:lang w:eastAsia="en-US"/>
        </w:rPr>
        <w:t>was one of</w:t>
      </w:r>
      <w:r>
        <w:rPr>
          <w:lang w:eastAsia="en-US"/>
        </w:rPr>
        <w:t xml:space="preserve"> the main reason</w:t>
      </w:r>
      <w:r w:rsidR="006E34AE">
        <w:rPr>
          <w:lang w:eastAsia="en-US"/>
        </w:rPr>
        <w:t>s</w:t>
      </w:r>
      <w:r>
        <w:rPr>
          <w:lang w:eastAsia="en-US"/>
        </w:rPr>
        <w:t xml:space="preserve"> why FBE channel access mechanism was not considered for LTE-LAA feature. </w:t>
      </w:r>
      <w:r w:rsidR="00DB6B8B">
        <w:rPr>
          <w:lang w:eastAsia="en-US"/>
        </w:rPr>
        <w:t>However</w:t>
      </w:r>
      <w:r>
        <w:rPr>
          <w:lang w:eastAsia="en-US"/>
        </w:rPr>
        <w:t xml:space="preserve">, for a fully coordinated deployment (such as industrial automation), where there is one </w:t>
      </w:r>
      <w:r w:rsidR="00A9188B">
        <w:rPr>
          <w:lang w:eastAsia="en-US"/>
        </w:rPr>
        <w:t xml:space="preserve">operator </w:t>
      </w:r>
      <w:r>
        <w:rPr>
          <w:lang w:eastAsia="en-US"/>
        </w:rPr>
        <w:t xml:space="preserve">or a few coordinated operators, and the operators </w:t>
      </w:r>
      <w:r w:rsidR="00DB6B8B">
        <w:rPr>
          <w:lang w:eastAsia="en-US"/>
        </w:rPr>
        <w:t>ensure</w:t>
      </w:r>
      <w:r>
        <w:rPr>
          <w:lang w:eastAsia="en-US"/>
        </w:rPr>
        <w:t xml:space="preserve"> there </w:t>
      </w:r>
      <w:r w:rsidR="00DB6B8B">
        <w:rPr>
          <w:lang w:eastAsia="en-US"/>
        </w:rPr>
        <w:t>are</w:t>
      </w:r>
      <w:r>
        <w:rPr>
          <w:lang w:eastAsia="en-US"/>
        </w:rPr>
        <w:t xml:space="preserve"> no LBE nodes around, the FBE channel access mechanism has the benefits of more efficient channel access, potential synchronized channel access</w:t>
      </w:r>
      <w:r w:rsidR="00A9188B">
        <w:rPr>
          <w:lang w:eastAsia="en-US"/>
        </w:rPr>
        <w:t xml:space="preserve"> to support more efficient receiver design, etc.</w:t>
      </w:r>
    </w:p>
    <w:p w14:paraId="7A17C4E2" w14:textId="58174B57" w:rsidR="00977EAA" w:rsidRDefault="00977EAA" w:rsidP="00601374">
      <w:pPr>
        <w:pStyle w:val="body"/>
        <w:kinsoku w:val="0"/>
        <w:overflowPunct w:val="0"/>
        <w:spacing w:after="0"/>
        <w:rPr>
          <w:lang w:eastAsia="en-US"/>
        </w:rPr>
      </w:pPr>
      <w:r>
        <w:rPr>
          <w:lang w:eastAsia="en-US"/>
        </w:rPr>
        <w:t xml:space="preserve">In most Industrial IoT applications, the factory owner is the single operator in the system. The factor can enforce rules to avoid any other deployment on the same frequency on the factory floor. </w:t>
      </w:r>
      <w:r w:rsidR="00C66EDE">
        <w:rPr>
          <w:lang w:eastAsia="en-US"/>
        </w:rPr>
        <w:t>Therefore single operator FBE operation is of particular importance to be investigated.</w:t>
      </w:r>
    </w:p>
    <w:p w14:paraId="10B22286" w14:textId="323B7E7E" w:rsidR="00C66EDE" w:rsidRDefault="00C66EDE" w:rsidP="00601374">
      <w:pPr>
        <w:pStyle w:val="body"/>
        <w:kinsoku w:val="0"/>
        <w:overflowPunct w:val="0"/>
        <w:spacing w:after="0"/>
        <w:rPr>
          <w:lang w:eastAsia="en-US"/>
        </w:rPr>
      </w:pPr>
      <w:r>
        <w:rPr>
          <w:lang w:eastAsia="en-US"/>
        </w:rPr>
        <w:t>As overviewed in Section 2, the regulation requirement for FBE device is relatively simple. The gNB only need to perform single LBT at a fixed time to claim the fixed length COT. After the gNB claims the COT, the operation will be very</w:t>
      </w:r>
      <w:r w:rsidR="003B520C">
        <w:rPr>
          <w:lang w:eastAsia="en-US"/>
        </w:rPr>
        <w:t xml:space="preserve"> close to licensed NR operation, other than one shot LBT is needed again if the gap between the transmission is above 16 us. Therefore, we expect single operator FBE NR-U can be supported with Rel.15 NR design and additionally with one shot LBT defined for NR-U. </w:t>
      </w:r>
    </w:p>
    <w:p w14:paraId="3A6BCB00" w14:textId="18B8692B" w:rsidR="00977EAA" w:rsidRDefault="00D220E4" w:rsidP="00601374">
      <w:pPr>
        <w:pStyle w:val="body"/>
        <w:kinsoku w:val="0"/>
        <w:overflowPunct w:val="0"/>
        <w:spacing w:after="0"/>
        <w:rPr>
          <w:b/>
          <w:lang w:eastAsia="en-US"/>
        </w:rPr>
      </w:pPr>
      <w:bookmarkStart w:id="24" w:name="p9"/>
      <w:r>
        <w:rPr>
          <w:b/>
          <w:lang w:eastAsia="en-US"/>
        </w:rPr>
        <w:t>Observation</w:t>
      </w:r>
      <w:r w:rsidR="00977EAA" w:rsidRPr="00977EAA">
        <w:rPr>
          <w:b/>
          <w:lang w:eastAsia="en-US"/>
        </w:rPr>
        <w:t xml:space="preserve"> </w:t>
      </w:r>
      <w:r w:rsidR="00977EAA" w:rsidRPr="00977EAA">
        <w:rPr>
          <w:b/>
          <w:lang w:eastAsia="en-US"/>
        </w:rPr>
        <w:fldChar w:fldCharType="begin"/>
      </w:r>
      <w:r w:rsidR="00977EAA" w:rsidRPr="00977EAA">
        <w:rPr>
          <w:b/>
          <w:lang w:eastAsia="en-US"/>
        </w:rPr>
        <w:instrText xml:space="preserve"> seq prop </w:instrText>
      </w:r>
      <w:r w:rsidR="00977EAA" w:rsidRPr="00977EAA">
        <w:rPr>
          <w:b/>
          <w:lang w:eastAsia="en-US"/>
        </w:rPr>
        <w:fldChar w:fldCharType="separate"/>
      </w:r>
      <w:r w:rsidR="0075101C">
        <w:rPr>
          <w:b/>
          <w:noProof/>
          <w:lang w:eastAsia="en-US"/>
        </w:rPr>
        <w:t>9</w:t>
      </w:r>
      <w:r w:rsidR="00977EAA" w:rsidRPr="00977EAA">
        <w:rPr>
          <w:b/>
          <w:lang w:eastAsia="en-US"/>
        </w:rPr>
        <w:fldChar w:fldCharType="end"/>
      </w:r>
      <w:r w:rsidR="00977EAA" w:rsidRPr="00977EAA">
        <w:rPr>
          <w:b/>
          <w:lang w:eastAsia="en-US"/>
        </w:rPr>
        <w:t xml:space="preserve">. </w:t>
      </w:r>
      <w:r w:rsidR="00977EAA">
        <w:rPr>
          <w:b/>
          <w:lang w:eastAsia="en-US"/>
        </w:rPr>
        <w:t>S</w:t>
      </w:r>
      <w:r w:rsidR="00977EAA" w:rsidRPr="00977EAA">
        <w:rPr>
          <w:b/>
          <w:lang w:eastAsia="en-US"/>
        </w:rPr>
        <w:t xml:space="preserve">ingle operator FBE </w:t>
      </w:r>
      <w:r w:rsidR="00977EAA">
        <w:rPr>
          <w:b/>
          <w:lang w:eastAsia="en-US"/>
        </w:rPr>
        <w:t>based system can be supported with Rel.15 NR design with one shot LBT mechanism developed for NR-U</w:t>
      </w:r>
    </w:p>
    <w:bookmarkEnd w:id="24"/>
    <w:p w14:paraId="6D5A01D3" w14:textId="46FE47E5" w:rsidR="003B520C" w:rsidRDefault="00096428" w:rsidP="00601374">
      <w:pPr>
        <w:pStyle w:val="body"/>
        <w:kinsoku w:val="0"/>
        <w:overflowPunct w:val="0"/>
        <w:spacing w:after="0"/>
        <w:rPr>
          <w:lang w:eastAsia="en-US"/>
        </w:rPr>
      </w:pPr>
      <w:r>
        <w:rPr>
          <w:lang w:eastAsia="en-US"/>
        </w:rPr>
        <w:t xml:space="preserve">For an NR system to follow FBE regulation, the gNB needs to align the FBE fixed frame period staring location with the slot boundary of every N slots, where N slots matches the fixed frame period in length. Then before the starting location of the fixed frame period, the gNB will perform an one shot LBT to determine the availability of the COT. </w:t>
      </w:r>
      <w:r>
        <w:rPr>
          <w:lang w:eastAsia="en-US"/>
        </w:rPr>
        <w:lastRenderedPageBreak/>
        <w:t>At the end of the fixed frame period, the gNB is responsible to leave an idle period of length no shorter than 100 us or 5% of the fixed frame period. This can be simply enforced by gNB scheduler.</w:t>
      </w:r>
    </w:p>
    <w:p w14:paraId="2418E64C" w14:textId="4F46D44B" w:rsidR="00096428" w:rsidRDefault="00096428" w:rsidP="00601374">
      <w:pPr>
        <w:pStyle w:val="body"/>
        <w:kinsoku w:val="0"/>
        <w:overflowPunct w:val="0"/>
        <w:spacing w:after="0"/>
        <w:rPr>
          <w:lang w:eastAsia="en-US"/>
        </w:rPr>
      </w:pPr>
      <w:r>
        <w:rPr>
          <w:lang w:eastAsia="en-US"/>
        </w:rPr>
        <w:t>For the one shot LBT at the beginning of the fixed frame period, since there is only one operator in the neighbourhood, the operator can configure all gNBs to align their fixed frame periods, so all the gNBs will perform the one shot LBT at the same time. Unless there is unexpected interferer, all gNBs will pass the one shot LBT, as no nodes from the operator are transmitting by scheduler coordination.</w:t>
      </w:r>
      <w:r w:rsidR="00AC011C">
        <w:rPr>
          <w:lang w:eastAsia="en-US"/>
        </w:rPr>
        <w:t xml:space="preserve"> As a result, a reuse factor of 1 can be achieved.</w:t>
      </w:r>
    </w:p>
    <w:p w14:paraId="1AC0B46D" w14:textId="77777777" w:rsidR="00770545" w:rsidRDefault="00770545" w:rsidP="00601374">
      <w:pPr>
        <w:pStyle w:val="body"/>
        <w:kinsoku w:val="0"/>
        <w:overflowPunct w:val="0"/>
        <w:spacing w:after="0"/>
        <w:rPr>
          <w:lang w:eastAsia="en-US"/>
        </w:rPr>
      </w:pPr>
      <w:r>
        <w:rPr>
          <w:lang w:eastAsia="en-US"/>
        </w:rPr>
        <w:t xml:space="preserve">Within each COT, the regulation allows multiple transmissions in different directions, subject to a one-shot LBT. There is no requirement of gap between transmission bursts. The transmission does not need to fill the entire allowed COT as well. UEs served on the gNB that wins the contention can transmit within the COT, where the winning gNB is the initiating device and the served UEs are responding devices in FBE. </w:t>
      </w:r>
    </w:p>
    <w:p w14:paraId="6DD672FE" w14:textId="77777777" w:rsidR="00770545" w:rsidRDefault="00770545" w:rsidP="00601374">
      <w:pPr>
        <w:pStyle w:val="body"/>
        <w:kinsoku w:val="0"/>
        <w:overflowPunct w:val="0"/>
        <w:spacing w:after="0"/>
        <w:rPr>
          <w:lang w:eastAsia="en-US"/>
        </w:rPr>
      </w:pPr>
      <w:r w:rsidRPr="00BD2764">
        <w:rPr>
          <w:lang w:eastAsia="en-US"/>
        </w:rPr>
        <w:object w:dxaOrig="15015" w:dyaOrig="3620" w14:anchorId="3994C119">
          <v:shape id="_x0000_i1031" type="#_x0000_t75" style="width:456pt;height:108.75pt" o:ole="">
            <v:imagedata r:id="rId28" o:title=""/>
          </v:shape>
          <o:OLEObject Type="Embed" ProgID="Visio.Drawing.11" ShapeID="_x0000_i1031" DrawAspect="Content" ObjectID="_1602664796" r:id="rId29"/>
        </w:object>
      </w:r>
    </w:p>
    <w:p w14:paraId="5706595B" w14:textId="1B665045" w:rsidR="00770545" w:rsidRDefault="00770545" w:rsidP="00601374">
      <w:pPr>
        <w:pStyle w:val="Caption"/>
        <w:kinsoku w:val="0"/>
        <w:spacing w:after="0"/>
        <w:jc w:val="center"/>
      </w:pPr>
      <w:r>
        <w:t xml:space="preserve">Figure </w:t>
      </w:r>
      <w:r>
        <w:fldChar w:fldCharType="begin"/>
      </w:r>
      <w:r>
        <w:instrText xml:space="preserve"> SEQ Figure \* ARABIC </w:instrText>
      </w:r>
      <w:r>
        <w:fldChar w:fldCharType="separate"/>
      </w:r>
      <w:r w:rsidR="0075101C">
        <w:rPr>
          <w:noProof/>
        </w:rPr>
        <w:t>10</w:t>
      </w:r>
      <w:r>
        <w:fldChar w:fldCharType="end"/>
      </w:r>
      <w:r>
        <w:t>. Multiple transmission bursts within COT</w:t>
      </w:r>
    </w:p>
    <w:p w14:paraId="062A2788" w14:textId="697C295D" w:rsidR="0002323B" w:rsidRDefault="0002323B" w:rsidP="00601374">
      <w:pPr>
        <w:pStyle w:val="body"/>
        <w:kinsoku w:val="0"/>
        <w:overflowPunct w:val="0"/>
        <w:spacing w:after="0"/>
        <w:rPr>
          <w:lang w:eastAsia="en-US"/>
        </w:rPr>
      </w:pPr>
      <w:r>
        <w:rPr>
          <w:lang w:eastAsia="en-US"/>
        </w:rPr>
        <w:t xml:space="preserve">Within a COT, when a gap between transmissions is longer than </w:t>
      </w:r>
      <w:r w:rsidR="00386255">
        <w:rPr>
          <w:lang w:eastAsia="en-US"/>
        </w:rPr>
        <w:t>16us, the regulation requires a</w:t>
      </w:r>
      <w:r>
        <w:rPr>
          <w:lang w:eastAsia="en-US"/>
        </w:rPr>
        <w:t xml:space="preserve"> one shot LBT for the transmission.</w:t>
      </w:r>
      <w:r w:rsidR="00386255">
        <w:rPr>
          <w:lang w:eastAsia="en-US"/>
        </w:rPr>
        <w:t xml:space="preserve"> If there is only one gNB, there is no problem as the LBT will pass when there </w:t>
      </w:r>
      <w:r w:rsidR="006E34AE">
        <w:rPr>
          <w:lang w:eastAsia="en-US"/>
        </w:rPr>
        <w:t>are</w:t>
      </w:r>
      <w:r w:rsidR="00386255">
        <w:rPr>
          <w:lang w:eastAsia="en-US"/>
        </w:rPr>
        <w:t xml:space="preserve"> no unexpected interferers. However, for a multiple gNB system, a transmission may be blocked due to one shot LBT failure from interference from neighbour cell. To maintain reuse 1 operation, it is preferred to synchronize the LBT gaps across gNBs in the same operator as well.</w:t>
      </w:r>
    </w:p>
    <w:p w14:paraId="1FF2E112" w14:textId="1D43D6EF" w:rsidR="00386255" w:rsidRDefault="007B0C5F" w:rsidP="00601374">
      <w:pPr>
        <w:pStyle w:val="body"/>
        <w:kinsoku w:val="0"/>
        <w:overflowPunct w:val="0"/>
        <w:spacing w:after="0"/>
        <w:rPr>
          <w:b/>
          <w:lang w:eastAsia="en-US"/>
        </w:rPr>
      </w:pPr>
      <w:bookmarkStart w:id="25" w:name="p10"/>
      <w:r>
        <w:rPr>
          <w:b/>
          <w:lang w:eastAsia="en-US"/>
        </w:rPr>
        <w:t>Proposal</w:t>
      </w:r>
      <w:r w:rsidRPr="00977EAA">
        <w:rPr>
          <w:b/>
          <w:lang w:eastAsia="en-US"/>
        </w:rPr>
        <w:t xml:space="preserve"> </w:t>
      </w:r>
      <w:r w:rsidRPr="00977EAA">
        <w:rPr>
          <w:b/>
          <w:lang w:eastAsia="en-US"/>
        </w:rPr>
        <w:fldChar w:fldCharType="begin"/>
      </w:r>
      <w:r w:rsidRPr="00977EAA">
        <w:rPr>
          <w:b/>
          <w:lang w:eastAsia="en-US"/>
        </w:rPr>
        <w:instrText xml:space="preserve"> seq prop </w:instrText>
      </w:r>
      <w:r w:rsidRPr="00977EAA">
        <w:rPr>
          <w:b/>
          <w:lang w:eastAsia="en-US"/>
        </w:rPr>
        <w:fldChar w:fldCharType="separate"/>
      </w:r>
      <w:r w:rsidR="0075101C">
        <w:rPr>
          <w:b/>
          <w:noProof/>
          <w:lang w:eastAsia="en-US"/>
        </w:rPr>
        <w:t>10</w:t>
      </w:r>
      <w:r w:rsidRPr="00977EAA">
        <w:rPr>
          <w:b/>
          <w:lang w:eastAsia="en-US"/>
        </w:rPr>
        <w:fldChar w:fldCharType="end"/>
      </w:r>
      <w:r w:rsidRPr="00977EAA">
        <w:rPr>
          <w:b/>
          <w:lang w:eastAsia="en-US"/>
        </w:rPr>
        <w:t>.</w:t>
      </w:r>
      <w:r w:rsidR="00386255" w:rsidRPr="00977EAA">
        <w:rPr>
          <w:b/>
          <w:lang w:eastAsia="en-US"/>
        </w:rPr>
        <w:t xml:space="preserve"> </w:t>
      </w:r>
      <w:r w:rsidR="00386255">
        <w:rPr>
          <w:b/>
          <w:lang w:eastAsia="en-US"/>
        </w:rPr>
        <w:t>To achieve reuse 1 operation for single operator FBE system, synchronization across gNBs is needed, with synchronized fixed frame period starting time, and synchronized LBT gap within a COT.</w:t>
      </w:r>
    </w:p>
    <w:bookmarkEnd w:id="25"/>
    <w:p w14:paraId="3D39157C" w14:textId="23EADCB4" w:rsidR="00DF0720" w:rsidRDefault="00DF0720" w:rsidP="00601374">
      <w:pPr>
        <w:pStyle w:val="body"/>
        <w:kinsoku w:val="0"/>
        <w:overflowPunct w:val="0"/>
        <w:spacing w:after="0"/>
        <w:rPr>
          <w:lang w:eastAsia="en-US"/>
        </w:rPr>
      </w:pPr>
      <w:r>
        <w:rPr>
          <w:lang w:eastAsia="en-US"/>
        </w:rPr>
        <w:t>However</w:t>
      </w:r>
      <w:r w:rsidRPr="00DF0720">
        <w:rPr>
          <w:lang w:eastAsia="en-US"/>
        </w:rPr>
        <w:t xml:space="preserve">, synchronization across gNBs may not have spec impact and can be considered as gNB implementation. </w:t>
      </w:r>
    </w:p>
    <w:p w14:paraId="72FF8C25" w14:textId="5BA89351" w:rsidR="00DF0720" w:rsidRDefault="00DF0720" w:rsidP="00601374">
      <w:pPr>
        <w:pStyle w:val="body"/>
        <w:kinsoku w:val="0"/>
        <w:overflowPunct w:val="0"/>
        <w:spacing w:after="0"/>
        <w:rPr>
          <w:lang w:eastAsia="en-US"/>
        </w:rPr>
      </w:pPr>
      <w:r>
        <w:rPr>
          <w:lang w:eastAsia="en-US"/>
        </w:rPr>
        <w:t xml:space="preserve">The main area with spec impact is for the UL transmission granted from the previous Fixed Frame Period, the UE needs to perform a monitoring of the DL signal/channel to make sure the gNB is occupying the current Fixed Frame Period. This functionality is similar to what has been discussed as TxOP start detection. And likely the same design can be reused. </w:t>
      </w:r>
    </w:p>
    <w:p w14:paraId="321B9306" w14:textId="4032AC0F" w:rsidR="00DF0720" w:rsidRPr="00DF0720" w:rsidRDefault="00DF0720" w:rsidP="00601374">
      <w:pPr>
        <w:pStyle w:val="body"/>
        <w:kinsoku w:val="0"/>
        <w:overflowPunct w:val="0"/>
        <w:spacing w:after="0"/>
        <w:rPr>
          <w:lang w:eastAsia="en-US"/>
        </w:rPr>
      </w:pPr>
      <w:r>
        <w:rPr>
          <w:lang w:eastAsia="en-US"/>
        </w:rPr>
        <w:t>On the other hand, for UL RRC configured transmission (including period PUCCH, SRS, and Configured Grant UL), the transmissions also condition on the detection of gNB occupying the Fixed Frame Period. However, this functionality is already supported by the current SFI design in NR Rel.15.</w:t>
      </w:r>
    </w:p>
    <w:p w14:paraId="5DFEE3A9" w14:textId="6C08F132" w:rsidR="00A9188B" w:rsidRDefault="00FF1ED8" w:rsidP="00601374">
      <w:pPr>
        <w:pStyle w:val="body"/>
        <w:keepNext/>
        <w:kinsoku w:val="0"/>
        <w:overflowPunct w:val="0"/>
        <w:spacing w:after="0"/>
        <w:rPr>
          <w:lang w:eastAsia="en-US"/>
        </w:rPr>
      </w:pPr>
      <w:r w:rsidRPr="00BD2764">
        <w:rPr>
          <w:lang w:eastAsia="en-US"/>
        </w:rPr>
        <w:object w:dxaOrig="15424" w:dyaOrig="4274" w14:anchorId="759CCEAA">
          <v:shape id="_x0000_i1032" type="#_x0000_t75" style="width:468pt;height:132pt" o:ole="">
            <v:imagedata r:id="rId30" o:title=""/>
          </v:shape>
          <o:OLEObject Type="Embed" ProgID="Visio.Drawing.11" ShapeID="_x0000_i1032" DrawAspect="Content" ObjectID="_1602664797" r:id="rId31"/>
        </w:object>
      </w:r>
    </w:p>
    <w:p w14:paraId="7926DAE0" w14:textId="7129D90B" w:rsidR="00275D3B" w:rsidRDefault="00275D3B" w:rsidP="00601374">
      <w:pPr>
        <w:pStyle w:val="Caption"/>
        <w:kinsoku w:val="0"/>
        <w:spacing w:after="0"/>
        <w:jc w:val="center"/>
        <w:rPr>
          <w:noProof/>
        </w:rPr>
      </w:pPr>
      <w:r>
        <w:t xml:space="preserve">Figure </w:t>
      </w:r>
      <w:r>
        <w:fldChar w:fldCharType="begin"/>
      </w:r>
      <w:r>
        <w:instrText xml:space="preserve"> SEQ Figure \* ARABIC </w:instrText>
      </w:r>
      <w:r>
        <w:fldChar w:fldCharType="separate"/>
      </w:r>
      <w:r w:rsidR="0075101C">
        <w:rPr>
          <w:noProof/>
        </w:rPr>
        <w:t>11</w:t>
      </w:r>
      <w:r>
        <w:fldChar w:fldCharType="end"/>
      </w:r>
      <w:r>
        <w:t>. Contention Slots for</w:t>
      </w:r>
      <w:r>
        <w:rPr>
          <w:noProof/>
        </w:rPr>
        <w:t xml:space="preserve"> FBE</w:t>
      </w:r>
    </w:p>
    <w:p w14:paraId="32120A6E" w14:textId="655D3D3F" w:rsidR="00275D3B" w:rsidRDefault="003C3D9F" w:rsidP="00601374">
      <w:pPr>
        <w:pStyle w:val="body"/>
        <w:kinsoku w:val="0"/>
        <w:overflowPunct w:val="0"/>
        <w:spacing w:after="0"/>
        <w:rPr>
          <w:lang w:eastAsia="en-US"/>
        </w:rPr>
      </w:pPr>
      <w:r>
        <w:rPr>
          <w:lang w:eastAsia="en-US"/>
        </w:rPr>
        <w:t xml:space="preserve">Though most industrial IoT use cases are single operator, there can be use cases where </w:t>
      </w:r>
      <w:r w:rsidR="00F355B7">
        <w:rPr>
          <w:lang w:eastAsia="en-US"/>
        </w:rPr>
        <w:t>multiple operators are</w:t>
      </w:r>
      <w:r>
        <w:rPr>
          <w:lang w:eastAsia="en-US"/>
        </w:rPr>
        <w:t xml:space="preserve"> deployed. </w:t>
      </w:r>
      <w:r w:rsidR="00F27987">
        <w:rPr>
          <w:lang w:eastAsia="en-US"/>
        </w:rPr>
        <w:t xml:space="preserve">To support FBE with multiple operators, </w:t>
      </w:r>
      <w:r w:rsidR="00533D02">
        <w:rPr>
          <w:lang w:eastAsia="en-US"/>
        </w:rPr>
        <w:t xml:space="preserve">fixed frame period level synchronization is needed across operators and </w:t>
      </w:r>
      <w:r w:rsidR="00F27987">
        <w:rPr>
          <w:lang w:eastAsia="en-US"/>
        </w:rPr>
        <w:t xml:space="preserve">contention slots can be introduced </w:t>
      </w:r>
      <w:r w:rsidR="0065145B">
        <w:rPr>
          <w:lang w:eastAsia="en-US"/>
        </w:rPr>
        <w:t>before COT. Each operator/gNB will conten</w:t>
      </w:r>
      <w:r w:rsidR="00DB6B8B">
        <w:rPr>
          <w:lang w:eastAsia="en-US"/>
        </w:rPr>
        <w:t>d</w:t>
      </w:r>
      <w:r w:rsidR="0065145B">
        <w:rPr>
          <w:lang w:eastAsia="en-US"/>
        </w:rPr>
        <w:t xml:space="preserve"> at a pre-assigned contention slot and monitor earlier contention slots. If no signal or energy detected in earlier contention slots, the node can step in to transmit in its own contention slots and block other nodes from starting transmission. The contention slots allocation can be randomized to provide fairness and</w:t>
      </w:r>
      <w:r w:rsidR="0069225F">
        <w:rPr>
          <w:lang w:eastAsia="en-US"/>
        </w:rPr>
        <w:t>/or</w:t>
      </w:r>
      <w:r w:rsidR="0065145B">
        <w:rPr>
          <w:lang w:eastAsia="en-US"/>
        </w:rPr>
        <w:t xml:space="preserve"> coordinated </w:t>
      </w:r>
      <w:r w:rsidR="0069225F">
        <w:rPr>
          <w:lang w:eastAsia="en-US"/>
        </w:rPr>
        <w:t>a</w:t>
      </w:r>
      <w:r w:rsidR="0065145B">
        <w:rPr>
          <w:lang w:eastAsia="en-US"/>
        </w:rPr>
        <w:t xml:space="preserve">cross operators. </w:t>
      </w:r>
    </w:p>
    <w:p w14:paraId="3A6B74AF" w14:textId="406918BA" w:rsidR="00533D02" w:rsidRDefault="00533D02" w:rsidP="00601374">
      <w:pPr>
        <w:pStyle w:val="body"/>
        <w:kinsoku w:val="0"/>
        <w:overflowPunct w:val="0"/>
        <w:spacing w:after="0"/>
        <w:rPr>
          <w:b/>
          <w:lang w:eastAsia="en-US"/>
        </w:rPr>
      </w:pPr>
      <w:bookmarkStart w:id="26" w:name="p11"/>
      <w:r w:rsidRPr="0065145B">
        <w:rPr>
          <w:b/>
          <w:lang w:eastAsia="en-US"/>
        </w:rPr>
        <w:lastRenderedPageBreak/>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75101C">
        <w:rPr>
          <w:b/>
          <w:noProof/>
          <w:lang w:eastAsia="en-US"/>
        </w:rPr>
        <w:t>11</w:t>
      </w:r>
      <w:r w:rsidRPr="0065145B">
        <w:rPr>
          <w:b/>
          <w:lang w:eastAsia="en-US"/>
        </w:rPr>
        <w:fldChar w:fldCharType="end"/>
      </w:r>
      <w:r>
        <w:rPr>
          <w:b/>
          <w:lang w:eastAsia="en-US"/>
        </w:rPr>
        <w:t>:</w:t>
      </w:r>
      <w:r w:rsidRPr="0065145B">
        <w:rPr>
          <w:b/>
          <w:lang w:eastAsia="en-US"/>
        </w:rPr>
        <w:t xml:space="preserve"> </w:t>
      </w:r>
      <w:r>
        <w:rPr>
          <w:b/>
          <w:lang w:eastAsia="en-US"/>
        </w:rPr>
        <w:t>To support mult</w:t>
      </w:r>
      <w:r w:rsidR="00670123">
        <w:rPr>
          <w:b/>
          <w:lang w:eastAsia="en-US"/>
        </w:rPr>
        <w:t>iple operator FBE system, synchr</w:t>
      </w:r>
      <w:r>
        <w:rPr>
          <w:b/>
          <w:lang w:eastAsia="en-US"/>
        </w:rPr>
        <w:t xml:space="preserve">onization across gNBs of </w:t>
      </w:r>
      <w:r w:rsidR="00770545">
        <w:rPr>
          <w:b/>
          <w:lang w:eastAsia="en-US"/>
        </w:rPr>
        <w:t>different operators is needed.</w:t>
      </w:r>
    </w:p>
    <w:p w14:paraId="031BE11B" w14:textId="16D00CDA" w:rsidR="0065145B" w:rsidRDefault="0065145B" w:rsidP="00601374">
      <w:pPr>
        <w:pStyle w:val="body"/>
        <w:kinsoku w:val="0"/>
        <w:overflowPunct w:val="0"/>
        <w:spacing w:after="0"/>
        <w:rPr>
          <w:b/>
          <w:lang w:eastAsia="en-US"/>
        </w:rPr>
      </w:pPr>
      <w:bookmarkStart w:id="27" w:name="p12"/>
      <w:bookmarkEnd w:id="26"/>
      <w:r w:rsidRPr="0065145B">
        <w:rPr>
          <w:b/>
          <w:lang w:eastAsia="en-US"/>
        </w:rPr>
        <w:t xml:space="preserve">Proposal </w:t>
      </w:r>
      <w:r w:rsidRPr="0065145B">
        <w:rPr>
          <w:b/>
          <w:lang w:eastAsia="en-US"/>
        </w:rPr>
        <w:fldChar w:fldCharType="begin"/>
      </w:r>
      <w:r w:rsidRPr="0065145B">
        <w:rPr>
          <w:b/>
          <w:lang w:eastAsia="en-US"/>
        </w:rPr>
        <w:instrText xml:space="preserve"> seq prop </w:instrText>
      </w:r>
      <w:r w:rsidRPr="0065145B">
        <w:rPr>
          <w:b/>
          <w:lang w:eastAsia="en-US"/>
        </w:rPr>
        <w:fldChar w:fldCharType="separate"/>
      </w:r>
      <w:r w:rsidR="0075101C">
        <w:rPr>
          <w:b/>
          <w:noProof/>
          <w:lang w:eastAsia="en-US"/>
        </w:rPr>
        <w:t>12</w:t>
      </w:r>
      <w:r w:rsidRPr="0065145B">
        <w:rPr>
          <w:b/>
          <w:lang w:eastAsia="en-US"/>
        </w:rPr>
        <w:fldChar w:fldCharType="end"/>
      </w:r>
      <w:r w:rsidR="008C476C">
        <w:rPr>
          <w:b/>
          <w:lang w:eastAsia="en-US"/>
        </w:rPr>
        <w:t>:</w:t>
      </w:r>
      <w:r w:rsidRPr="0065145B">
        <w:rPr>
          <w:b/>
          <w:lang w:eastAsia="en-US"/>
        </w:rPr>
        <w:t xml:space="preserve"> </w:t>
      </w:r>
      <w:r>
        <w:rPr>
          <w:b/>
          <w:lang w:eastAsia="en-US"/>
        </w:rPr>
        <w:t xml:space="preserve">Contention slots </w:t>
      </w:r>
      <w:r w:rsidR="00DB6B8B">
        <w:rPr>
          <w:b/>
          <w:lang w:eastAsia="en-US"/>
        </w:rPr>
        <w:t xml:space="preserve">are </w:t>
      </w:r>
      <w:r>
        <w:rPr>
          <w:b/>
          <w:lang w:eastAsia="en-US"/>
        </w:rPr>
        <w:t>introduced for FBE channel access mechanism with cross operator contention coordination specified.</w:t>
      </w:r>
    </w:p>
    <w:bookmarkEnd w:id="27"/>
    <w:p w14:paraId="238F7184" w14:textId="3EA6154C" w:rsidR="003B0DA8" w:rsidRPr="003B0DA8" w:rsidRDefault="003B0DA8" w:rsidP="00601374">
      <w:pPr>
        <w:pStyle w:val="Heading1"/>
        <w:kinsoku w:val="0"/>
        <w:spacing w:after="0"/>
      </w:pPr>
      <w:r w:rsidRPr="003B0DA8">
        <w:t>Wideband operation</w:t>
      </w:r>
    </w:p>
    <w:p w14:paraId="048BE891" w14:textId="5D4CA1D6" w:rsidR="003B0DA8" w:rsidRDefault="003B0DA8" w:rsidP="00601374">
      <w:pPr>
        <w:kinsoku w:val="0"/>
        <w:wordWrap/>
        <w:overflowPunct w:val="0"/>
        <w:rPr>
          <w:lang w:val="en-GB" w:eastAsia="en-US"/>
        </w:rPr>
      </w:pPr>
    </w:p>
    <w:p w14:paraId="0CD36742" w14:textId="77777777" w:rsidR="00DA1350" w:rsidRPr="002236FA" w:rsidRDefault="00DA1350" w:rsidP="00601374">
      <w:pPr>
        <w:kinsoku w:val="0"/>
        <w:wordWrap/>
        <w:overflowPunct w:val="0"/>
        <w:rPr>
          <w:rFonts w:ascii="Times New Roman"/>
          <w:szCs w:val="20"/>
        </w:rPr>
      </w:pPr>
      <w:r w:rsidRPr="002236FA">
        <w:rPr>
          <w:rFonts w:ascii="Times New Roman"/>
          <w:szCs w:val="20"/>
        </w:rPr>
        <w:t xml:space="preserve">In NR-U, the LBT may be performed in each subband with channel bandwidth of 20Mhz to have better coexistence with other nodes which may operation only at 20Mhz. Based on the LBT outcome, gNB may transmit on one channel or multiple channels. While CA is an effective approach to deal with mulit-channel transmission with multi-channel LBT, the wideband transmission with multi-channel LBT has been shown to reduce the system overhead and yield better system performance [2]. </w:t>
      </w:r>
    </w:p>
    <w:p w14:paraId="252D126A" w14:textId="77777777" w:rsidR="00DA1350" w:rsidRPr="002236FA" w:rsidRDefault="00DA1350" w:rsidP="00601374">
      <w:pPr>
        <w:kinsoku w:val="0"/>
        <w:wordWrap/>
        <w:overflowPunct w:val="0"/>
        <w:rPr>
          <w:rFonts w:ascii="Times New Roman"/>
          <w:szCs w:val="20"/>
        </w:rPr>
      </w:pPr>
      <w:r w:rsidRPr="002236FA">
        <w:rPr>
          <w:rFonts w:ascii="Times New Roman"/>
          <w:szCs w:val="20"/>
        </w:rPr>
        <w:t>BWP concept has been introduced in NR wideband operation where UE can be configured with multiple BWPs:</w:t>
      </w:r>
    </w:p>
    <w:p w14:paraId="4D283244" w14:textId="77777777" w:rsidR="00DA1350" w:rsidRPr="002236FA" w:rsidRDefault="00DA1350" w:rsidP="00601374">
      <w:pPr>
        <w:numPr>
          <w:ilvl w:val="0"/>
          <w:numId w:val="35"/>
        </w:numPr>
        <w:kinsoku w:val="0"/>
        <w:wordWrap/>
        <w:overflowPunct w:val="0"/>
        <w:adjustRightInd w:val="0"/>
        <w:spacing w:after="60"/>
        <w:textAlignment w:val="baseline"/>
        <w:rPr>
          <w:rFonts w:ascii="Times New Roman"/>
          <w:szCs w:val="20"/>
        </w:rPr>
      </w:pPr>
      <w:r w:rsidRPr="002236FA">
        <w:rPr>
          <w:rFonts w:ascii="Times New Roman"/>
          <w:szCs w:val="20"/>
        </w:rPr>
        <w:t xml:space="preserve">In Rel-15, for a UE, there is </w:t>
      </w:r>
      <w:r w:rsidRPr="002236FA">
        <w:rPr>
          <w:rFonts w:ascii="Times New Roman"/>
          <w:bCs/>
          <w:szCs w:val="20"/>
        </w:rPr>
        <w:t>at most one active</w:t>
      </w:r>
      <w:r w:rsidRPr="002236FA">
        <w:rPr>
          <w:rFonts w:ascii="Times New Roman"/>
          <w:szCs w:val="20"/>
        </w:rPr>
        <w:t xml:space="preserve"> </w:t>
      </w:r>
      <w:r w:rsidRPr="002236FA">
        <w:rPr>
          <w:rFonts w:ascii="Times New Roman"/>
          <w:bCs/>
          <w:szCs w:val="20"/>
        </w:rPr>
        <w:t xml:space="preserve">DL BWP </w:t>
      </w:r>
      <w:r w:rsidRPr="002236FA">
        <w:rPr>
          <w:rFonts w:ascii="Times New Roman"/>
          <w:szCs w:val="20"/>
        </w:rPr>
        <w:t xml:space="preserve">and </w:t>
      </w:r>
      <w:r w:rsidRPr="002236FA">
        <w:rPr>
          <w:rFonts w:ascii="Times New Roman"/>
          <w:bCs/>
          <w:szCs w:val="20"/>
        </w:rPr>
        <w:t>at most one active</w:t>
      </w:r>
      <w:r w:rsidRPr="002236FA">
        <w:rPr>
          <w:rFonts w:ascii="Times New Roman"/>
          <w:szCs w:val="20"/>
        </w:rPr>
        <w:t xml:space="preserve"> </w:t>
      </w:r>
      <w:r w:rsidRPr="002236FA">
        <w:rPr>
          <w:rFonts w:ascii="Times New Roman"/>
          <w:bCs/>
          <w:szCs w:val="20"/>
        </w:rPr>
        <w:t>UL BWP</w:t>
      </w:r>
      <w:r w:rsidRPr="002236FA">
        <w:rPr>
          <w:rFonts w:ascii="Times New Roman"/>
          <w:b/>
          <w:bCs/>
          <w:szCs w:val="20"/>
        </w:rPr>
        <w:t xml:space="preserve"> </w:t>
      </w:r>
      <w:r w:rsidRPr="002236FA">
        <w:rPr>
          <w:rFonts w:ascii="Times New Roman"/>
          <w:szCs w:val="20"/>
        </w:rPr>
        <w:t>at a given time for a serving cell</w:t>
      </w:r>
    </w:p>
    <w:p w14:paraId="1A1D38AA" w14:textId="77777777" w:rsidR="00DA1350" w:rsidRPr="002236FA" w:rsidRDefault="00DA1350" w:rsidP="00601374">
      <w:pPr>
        <w:numPr>
          <w:ilvl w:val="0"/>
          <w:numId w:val="35"/>
        </w:numPr>
        <w:tabs>
          <w:tab w:val="clear" w:pos="720"/>
        </w:tabs>
        <w:kinsoku w:val="0"/>
        <w:wordWrap/>
        <w:overflowPunct w:val="0"/>
        <w:adjustRightInd w:val="0"/>
        <w:spacing w:after="60"/>
        <w:textAlignment w:val="baseline"/>
        <w:rPr>
          <w:rFonts w:ascii="Times New Roman"/>
          <w:szCs w:val="20"/>
        </w:rPr>
      </w:pPr>
      <w:r w:rsidRPr="002236FA">
        <w:rPr>
          <w:rFonts w:ascii="Times New Roman"/>
          <w:szCs w:val="20"/>
        </w:rPr>
        <w:t>A BWP consists of a group of contiguous PRBs</w:t>
      </w:r>
    </w:p>
    <w:p w14:paraId="6E13A30D" w14:textId="77777777" w:rsidR="00DA1350" w:rsidRPr="002236FA" w:rsidRDefault="00DA1350" w:rsidP="00601374">
      <w:pPr>
        <w:kinsoku w:val="0"/>
        <w:wordWrap/>
        <w:overflowPunct w:val="0"/>
        <w:rPr>
          <w:rFonts w:ascii="Times New Roman"/>
          <w:szCs w:val="20"/>
        </w:rPr>
      </w:pPr>
      <w:r w:rsidRPr="002236FA">
        <w:rPr>
          <w:rFonts w:ascii="Times New Roman"/>
          <w:szCs w:val="20"/>
        </w:rPr>
        <w:t>The NR BWP concept is motivated by at least three main scenarios:  Reduced UE BW capability, Load balancing within CC and UE power saving.</w:t>
      </w:r>
    </w:p>
    <w:p w14:paraId="02632D00" w14:textId="77777777" w:rsidR="00DA1350" w:rsidRPr="002236FA" w:rsidRDefault="00DA1350" w:rsidP="00601374">
      <w:pPr>
        <w:kinsoku w:val="0"/>
        <w:wordWrap/>
        <w:overflowPunct w:val="0"/>
        <w:rPr>
          <w:rFonts w:ascii="Times New Roman"/>
          <w:szCs w:val="20"/>
        </w:rPr>
      </w:pPr>
      <w:r w:rsidRPr="002236FA">
        <w:rPr>
          <w:rFonts w:ascii="Times New Roman"/>
          <w:szCs w:val="20"/>
        </w:rPr>
        <w:t>A few options have been proposed to extend BWP to the multi-channel transmission in NR-U:</w:t>
      </w:r>
    </w:p>
    <w:p w14:paraId="24384394" w14:textId="77777777" w:rsidR="000F7E65" w:rsidRPr="00DA36D5" w:rsidRDefault="000F7E65" w:rsidP="00DF0720">
      <w:pPr>
        <w:numPr>
          <w:ilvl w:val="0"/>
          <w:numId w:val="34"/>
        </w:numPr>
        <w:kinsoku w:val="0"/>
        <w:wordWrap/>
        <w:overflowPunct w:val="0"/>
        <w:autoSpaceDE/>
        <w:autoSpaceDN/>
        <w:rPr>
          <w:rFonts w:ascii="Times New Roman"/>
          <w:lang w:val="en-GB"/>
        </w:rPr>
      </w:pPr>
      <w:r w:rsidRPr="00DA36D5">
        <w:rPr>
          <w:rFonts w:ascii="Times New Roman"/>
          <w:lang w:val="en-GB"/>
        </w:rPr>
        <w:t>Option 1a: Multiple BWPs configured, multiple BWPs activated, transmission of PDSCH on one or more BWPs</w:t>
      </w:r>
    </w:p>
    <w:p w14:paraId="1D8546A1" w14:textId="77777777" w:rsidR="000F7E65" w:rsidRPr="00DA36D5" w:rsidRDefault="000F7E65" w:rsidP="00DF0720">
      <w:pPr>
        <w:numPr>
          <w:ilvl w:val="0"/>
          <w:numId w:val="34"/>
        </w:numPr>
        <w:kinsoku w:val="0"/>
        <w:wordWrap/>
        <w:overflowPunct w:val="0"/>
        <w:autoSpaceDE/>
        <w:autoSpaceDN/>
        <w:rPr>
          <w:rFonts w:ascii="Times New Roman"/>
          <w:lang w:val="en-GB"/>
        </w:rPr>
      </w:pPr>
      <w:r w:rsidRPr="00DA36D5">
        <w:rPr>
          <w:rFonts w:ascii="Times New Roman"/>
          <w:lang w:val="en-GB"/>
        </w:rPr>
        <w:t>Option 1b: Multiple BWPs configured, multiple BWPs activated, transmission of PDSCH on single BWP</w:t>
      </w:r>
    </w:p>
    <w:p w14:paraId="1CF35B5E" w14:textId="77777777" w:rsidR="000F7E65" w:rsidRPr="00DA36D5" w:rsidRDefault="000F7E65" w:rsidP="00DF0720">
      <w:pPr>
        <w:numPr>
          <w:ilvl w:val="0"/>
          <w:numId w:val="34"/>
        </w:numPr>
        <w:kinsoku w:val="0"/>
        <w:wordWrap/>
        <w:overflowPunct w:val="0"/>
        <w:autoSpaceDE/>
        <w:autoSpaceDN/>
        <w:rPr>
          <w:rFonts w:ascii="Times New Roman"/>
          <w:lang w:val="en-GB"/>
        </w:rPr>
      </w:pPr>
      <w:r w:rsidRPr="00DA36D5">
        <w:rPr>
          <w:rFonts w:ascii="Times New Roman"/>
          <w:lang w:val="en-GB"/>
        </w:rPr>
        <w:t>Option 2: Multiple BWPs can be configured, single BWP activated, gNB transmits PDSCH on a single BWP if CCA is successful at gNB for the whole BWP</w:t>
      </w:r>
    </w:p>
    <w:p w14:paraId="3F04E690" w14:textId="77777777" w:rsidR="000F7E65" w:rsidRPr="00DA36D5" w:rsidRDefault="000F7E65" w:rsidP="00DF0720">
      <w:pPr>
        <w:numPr>
          <w:ilvl w:val="0"/>
          <w:numId w:val="34"/>
        </w:numPr>
        <w:kinsoku w:val="0"/>
        <w:wordWrap/>
        <w:overflowPunct w:val="0"/>
        <w:autoSpaceDE/>
        <w:autoSpaceDN/>
        <w:rPr>
          <w:rFonts w:ascii="Times New Roman"/>
          <w:lang w:val="en-GB"/>
        </w:rPr>
      </w:pPr>
      <w:r w:rsidRPr="00DA36D5">
        <w:rPr>
          <w:rFonts w:ascii="Times New Roman"/>
          <w:lang w:val="en-GB"/>
        </w:rPr>
        <w:t>Option 3: Multiple BWPs can be configured, single BWP activated, gNB transmits PDSCH on parts or whole of single BWP where CCA is successful at gNB</w:t>
      </w:r>
    </w:p>
    <w:p w14:paraId="79C060A6" w14:textId="56AB8B4D" w:rsidR="00601374" w:rsidRDefault="00DA1350" w:rsidP="00601374">
      <w:pPr>
        <w:kinsoku w:val="0"/>
        <w:wordWrap/>
        <w:overflowPunct w:val="0"/>
        <w:rPr>
          <w:rFonts w:ascii="Times New Roman"/>
          <w:szCs w:val="20"/>
        </w:rPr>
      </w:pPr>
      <w:r w:rsidRPr="002236FA">
        <w:rPr>
          <w:rFonts w:ascii="Times New Roman"/>
          <w:szCs w:val="20"/>
        </w:rPr>
        <w:t>According to RAN4, the BWP switching delay can be in a range of [400us, 600us, 950us, 2000us] depending on the switching scenario (whether there is center frequency change and/or numerology change) and UE capability (type 1 or type 2).  As we can see, even the fast BWP switching involves 400us delay. On the other hand, a wideband UE may need to monitor the entire wideband anyway to detect whether on which channel(s) gNB is active. Therefore, we have slightly preference on Option 3 without incurring BWP switching overhead. Note Option 3 does not preclude efficient DL signalling within the active subbands.</w:t>
      </w:r>
    </w:p>
    <w:p w14:paraId="0E0BFDDD" w14:textId="77777777" w:rsidR="00601374" w:rsidRDefault="00601374" w:rsidP="00601374">
      <w:pPr>
        <w:kinsoku w:val="0"/>
        <w:wordWrap/>
        <w:overflowPunct w:val="0"/>
        <w:rPr>
          <w:rFonts w:ascii="Times New Roman"/>
          <w:szCs w:val="20"/>
        </w:rPr>
      </w:pPr>
    </w:p>
    <w:p w14:paraId="1DE81FE8" w14:textId="497E491B" w:rsidR="00DA1350" w:rsidRPr="00DF0720" w:rsidRDefault="00DA1350" w:rsidP="00601374">
      <w:pPr>
        <w:kinsoku w:val="0"/>
        <w:wordWrap/>
        <w:overflowPunct w:val="0"/>
        <w:rPr>
          <w:rFonts w:ascii="Times New Roman"/>
          <w:b/>
          <w:lang w:eastAsia="en-US"/>
        </w:rPr>
      </w:pPr>
      <w:bookmarkStart w:id="28" w:name="p13"/>
      <w:r w:rsidRPr="00601374">
        <w:rPr>
          <w:rFonts w:ascii="Times New Roman"/>
          <w:b/>
          <w:snapToGrid w:val="0"/>
          <w:kern w:val="0"/>
          <w:szCs w:val="20"/>
          <w:lang w:val="en-GB" w:eastAsia="en-US"/>
        </w:rPr>
        <w:t xml:space="preserve">Proposal </w:t>
      </w:r>
      <w:r w:rsidRPr="00601374">
        <w:rPr>
          <w:rFonts w:ascii="Times New Roman"/>
          <w:b/>
          <w:snapToGrid w:val="0"/>
          <w:kern w:val="0"/>
          <w:szCs w:val="20"/>
          <w:lang w:val="en-GB" w:eastAsia="en-US"/>
        </w:rPr>
        <w:fldChar w:fldCharType="begin"/>
      </w:r>
      <w:r w:rsidRPr="00601374">
        <w:rPr>
          <w:rFonts w:ascii="Times New Roman"/>
          <w:b/>
          <w:snapToGrid w:val="0"/>
          <w:kern w:val="0"/>
          <w:szCs w:val="20"/>
          <w:lang w:val="en-GB" w:eastAsia="en-US"/>
        </w:rPr>
        <w:instrText xml:space="preserve"> seq prop </w:instrText>
      </w:r>
      <w:r w:rsidRPr="00601374">
        <w:rPr>
          <w:rFonts w:ascii="Times New Roman"/>
          <w:b/>
          <w:snapToGrid w:val="0"/>
          <w:kern w:val="0"/>
          <w:szCs w:val="20"/>
          <w:lang w:val="en-GB" w:eastAsia="en-US"/>
        </w:rPr>
        <w:fldChar w:fldCharType="separate"/>
      </w:r>
      <w:r w:rsidR="0075101C">
        <w:rPr>
          <w:rFonts w:ascii="Times New Roman"/>
          <w:b/>
          <w:noProof/>
          <w:snapToGrid w:val="0"/>
          <w:kern w:val="0"/>
          <w:szCs w:val="20"/>
          <w:lang w:val="en-GB" w:eastAsia="en-US"/>
        </w:rPr>
        <w:t>13</w:t>
      </w:r>
      <w:r w:rsidRPr="00601374">
        <w:rPr>
          <w:rFonts w:ascii="Times New Roman"/>
          <w:b/>
          <w:snapToGrid w:val="0"/>
          <w:kern w:val="0"/>
          <w:szCs w:val="20"/>
          <w:lang w:val="en-GB" w:eastAsia="en-US"/>
        </w:rPr>
        <w:fldChar w:fldCharType="end"/>
      </w:r>
      <w:r w:rsidRPr="00601374">
        <w:rPr>
          <w:rFonts w:ascii="Times New Roman"/>
          <w:b/>
          <w:snapToGrid w:val="0"/>
          <w:kern w:val="0"/>
          <w:szCs w:val="20"/>
          <w:lang w:val="en-GB" w:eastAsia="en-US"/>
        </w:rPr>
        <w:t xml:space="preserve">: </w:t>
      </w:r>
      <w:r w:rsidR="00601374" w:rsidRPr="00601374">
        <w:rPr>
          <w:rFonts w:ascii="Times New Roman"/>
          <w:b/>
          <w:lang w:eastAsia="en-US"/>
        </w:rPr>
        <w:t xml:space="preserve">NR-U supports </w:t>
      </w:r>
      <w:r w:rsidR="000F7E65">
        <w:rPr>
          <w:rFonts w:ascii="Times New Roman"/>
          <w:b/>
          <w:lang w:eastAsia="en-US"/>
        </w:rPr>
        <w:t xml:space="preserve">wideband operation </w:t>
      </w:r>
      <w:r w:rsidR="00C918EC">
        <w:rPr>
          <w:rFonts w:ascii="Times New Roman"/>
          <w:b/>
          <w:lang w:eastAsia="en-US"/>
        </w:rPr>
        <w:t>where m</w:t>
      </w:r>
      <w:r w:rsidR="000F7E65" w:rsidRPr="00DF0720">
        <w:rPr>
          <w:rFonts w:ascii="Times New Roman"/>
          <w:b/>
          <w:lang w:eastAsia="en-US"/>
        </w:rPr>
        <w:t xml:space="preserve">ultiple BWPs can be configured, </w:t>
      </w:r>
      <w:r w:rsidR="00C918EC">
        <w:rPr>
          <w:rFonts w:ascii="Times New Roman"/>
          <w:b/>
          <w:lang w:eastAsia="en-US"/>
        </w:rPr>
        <w:t xml:space="preserve">only a </w:t>
      </w:r>
      <w:r w:rsidR="000F7E65" w:rsidRPr="00DF0720">
        <w:rPr>
          <w:rFonts w:ascii="Times New Roman"/>
          <w:b/>
          <w:lang w:eastAsia="en-US"/>
        </w:rPr>
        <w:t xml:space="preserve">single BWP </w:t>
      </w:r>
      <w:r w:rsidR="00C918EC">
        <w:rPr>
          <w:rFonts w:ascii="Times New Roman"/>
          <w:b/>
          <w:lang w:eastAsia="en-US"/>
        </w:rPr>
        <w:t xml:space="preserve">can be </w:t>
      </w:r>
      <w:r w:rsidR="000F7E65" w:rsidRPr="00DF0720">
        <w:rPr>
          <w:rFonts w:ascii="Times New Roman"/>
          <w:b/>
          <w:lang w:eastAsia="en-US"/>
        </w:rPr>
        <w:t>activated,</w:t>
      </w:r>
      <w:r w:rsidR="00C918EC">
        <w:rPr>
          <w:rFonts w:ascii="Times New Roman"/>
          <w:b/>
          <w:lang w:eastAsia="en-US"/>
        </w:rPr>
        <w:t xml:space="preserve"> and</w:t>
      </w:r>
      <w:r w:rsidR="000F7E65" w:rsidRPr="00DF0720">
        <w:rPr>
          <w:rFonts w:ascii="Times New Roman"/>
          <w:b/>
          <w:lang w:eastAsia="en-US"/>
        </w:rPr>
        <w:t xml:space="preserve"> gNB </w:t>
      </w:r>
      <w:r w:rsidR="00C918EC">
        <w:rPr>
          <w:rFonts w:ascii="Times New Roman"/>
          <w:b/>
          <w:lang w:eastAsia="en-US"/>
        </w:rPr>
        <w:t xml:space="preserve">can </w:t>
      </w:r>
      <w:r w:rsidR="000F7E65" w:rsidRPr="00DF0720">
        <w:rPr>
          <w:rFonts w:ascii="Times New Roman"/>
          <w:b/>
          <w:lang w:eastAsia="en-US"/>
        </w:rPr>
        <w:t>transmit PDSCH on parts or whole of single BWP where CCA is successful at gNB</w:t>
      </w:r>
      <w:r w:rsidR="00601374" w:rsidRPr="00601374">
        <w:rPr>
          <w:rFonts w:ascii="Times New Roman"/>
          <w:b/>
          <w:lang w:eastAsia="en-US"/>
        </w:rPr>
        <w:t>.</w:t>
      </w:r>
    </w:p>
    <w:bookmarkEnd w:id="28"/>
    <w:p w14:paraId="1F083CA7" w14:textId="2218916B" w:rsidR="0095302F" w:rsidRDefault="0095302F" w:rsidP="00601374">
      <w:pPr>
        <w:pStyle w:val="Heading1"/>
        <w:kinsoku w:val="0"/>
        <w:spacing w:after="0"/>
      </w:pPr>
      <w:r>
        <w:t>Summary</w:t>
      </w:r>
    </w:p>
    <w:p w14:paraId="791C5E77" w14:textId="1307B1E0" w:rsidR="0051580E" w:rsidRPr="00770545" w:rsidRDefault="00594582" w:rsidP="00601374">
      <w:pPr>
        <w:pStyle w:val="LGTdoc1"/>
        <w:kinsoku w:val="0"/>
        <w:overflowPunct w:val="0"/>
        <w:spacing w:beforeLines="0" w:before="120" w:after="0" w:afterAutospacing="0"/>
        <w:rPr>
          <w:b w:val="0"/>
          <w:sz w:val="20"/>
        </w:rPr>
      </w:pPr>
      <w:r w:rsidRPr="00770545">
        <w:rPr>
          <w:b w:val="0"/>
          <w:sz w:val="20"/>
        </w:rPr>
        <w:t xml:space="preserve">The proposals </w:t>
      </w:r>
      <w:r w:rsidR="00FA2D11" w:rsidRPr="00770545">
        <w:rPr>
          <w:b w:val="0"/>
          <w:sz w:val="20"/>
        </w:rPr>
        <w:t xml:space="preserve">and observations </w:t>
      </w:r>
      <w:r w:rsidRPr="00770545">
        <w:rPr>
          <w:b w:val="0"/>
          <w:sz w:val="20"/>
        </w:rPr>
        <w:t>made in this contribution are summarized below.</w:t>
      </w:r>
    </w:p>
    <w:p w14:paraId="239E055F" w14:textId="2328F69A" w:rsidR="00F944B0" w:rsidRDefault="00F944B0" w:rsidP="00601374">
      <w:pPr>
        <w:pStyle w:val="LGTdoc1"/>
        <w:kinsoku w:val="0"/>
        <w:overflowPunct w:val="0"/>
        <w:spacing w:beforeLines="0" w:before="120" w:after="0" w:afterAutospacing="0"/>
        <w:rPr>
          <w:sz w:val="22"/>
        </w:rPr>
      </w:pPr>
      <w:r>
        <w:rPr>
          <w:sz w:val="22"/>
        </w:rPr>
        <w:fldChar w:fldCharType="begin"/>
      </w:r>
      <w:r>
        <w:rPr>
          <w:sz w:val="22"/>
        </w:rPr>
        <w:instrText xml:space="preserve"> REF p1 \h </w:instrText>
      </w:r>
      <w:r>
        <w:rPr>
          <w:sz w:val="22"/>
        </w:rPr>
      </w:r>
      <w:r>
        <w:rPr>
          <w:sz w:val="22"/>
        </w:rPr>
        <w:fldChar w:fldCharType="separate"/>
      </w:r>
      <w:r w:rsidR="0075101C" w:rsidRPr="006C212E">
        <w:rPr>
          <w:sz w:val="20"/>
        </w:rPr>
        <w:t xml:space="preserve">Proposal </w:t>
      </w:r>
      <w:r w:rsidR="0075101C">
        <w:rPr>
          <w:noProof/>
          <w:sz w:val="20"/>
        </w:rPr>
        <w:t>1</w:t>
      </w:r>
      <w:r w:rsidR="0075101C" w:rsidRPr="006C212E">
        <w:rPr>
          <w:sz w:val="20"/>
        </w:rPr>
        <w:t xml:space="preserve">: </w:t>
      </w:r>
      <w:r w:rsidR="0075101C">
        <w:rPr>
          <w:sz w:val="20"/>
        </w:rPr>
        <w:t>NR-U supports SCS of 15, 30, and 60Khz in sub-7GHz</w:t>
      </w:r>
      <w:r>
        <w:rPr>
          <w:sz w:val="22"/>
        </w:rPr>
        <w:fldChar w:fldCharType="end"/>
      </w:r>
    </w:p>
    <w:p w14:paraId="3FADAEBC" w14:textId="77777777" w:rsidR="0075101C" w:rsidRPr="006C212E" w:rsidRDefault="00F944B0" w:rsidP="00601374">
      <w:pPr>
        <w:pStyle w:val="LGTdoc1"/>
        <w:kinsoku w:val="0"/>
        <w:overflowPunct w:val="0"/>
        <w:spacing w:beforeLines="0" w:before="120" w:after="0" w:afterAutospacing="0"/>
        <w:rPr>
          <w:sz w:val="20"/>
        </w:rPr>
      </w:pPr>
      <w:r>
        <w:rPr>
          <w:sz w:val="22"/>
        </w:rPr>
        <w:fldChar w:fldCharType="begin"/>
      </w:r>
      <w:r>
        <w:rPr>
          <w:sz w:val="22"/>
        </w:rPr>
        <w:instrText xml:space="preserve"> REF p2 \h </w:instrText>
      </w:r>
      <w:r>
        <w:rPr>
          <w:sz w:val="22"/>
        </w:rPr>
      </w:r>
      <w:r>
        <w:rPr>
          <w:sz w:val="22"/>
        </w:rPr>
        <w:fldChar w:fldCharType="separate"/>
      </w:r>
      <w:r w:rsidR="0075101C" w:rsidRPr="0075101C">
        <w:rPr>
          <w:sz w:val="20"/>
        </w:rPr>
        <w:t xml:space="preserve">Proposal </w:t>
      </w:r>
      <w:r w:rsidR="0075101C">
        <w:rPr>
          <w:noProof/>
          <w:sz w:val="20"/>
        </w:rPr>
        <w:t>2</w:t>
      </w:r>
      <w:r w:rsidR="0075101C" w:rsidRPr="0075101C">
        <w:rPr>
          <w:sz w:val="20"/>
        </w:rPr>
        <w:t>: Support both LBE and FBE based channel access mechanisms for NR-U and identify the spec impact for FBE support</w:t>
      </w:r>
    </w:p>
    <w:p w14:paraId="1337C5F2" w14:textId="77777777" w:rsidR="0075101C"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p3 \h </w:instrText>
      </w:r>
      <w:r>
        <w:rPr>
          <w:sz w:val="22"/>
        </w:rPr>
      </w:r>
      <w:r>
        <w:rPr>
          <w:sz w:val="22"/>
        </w:rPr>
        <w:fldChar w:fldCharType="separate"/>
      </w:r>
      <w:r w:rsidR="0075101C" w:rsidRPr="006C212E">
        <w:rPr>
          <w:sz w:val="20"/>
        </w:rPr>
        <w:t xml:space="preserve">Proposal </w:t>
      </w:r>
      <w:r w:rsidR="0075101C">
        <w:rPr>
          <w:noProof/>
          <w:sz w:val="20"/>
        </w:rPr>
        <w:t>3</w:t>
      </w:r>
      <w:r w:rsidR="0075101C">
        <w:rPr>
          <w:sz w:val="20"/>
        </w:rPr>
        <w:t>:</w:t>
      </w:r>
      <w:r w:rsidR="0075101C" w:rsidRPr="006C212E">
        <w:rPr>
          <w:sz w:val="20"/>
        </w:rPr>
        <w:t xml:space="preserve"> </w:t>
      </w:r>
      <w:r w:rsidR="0075101C">
        <w:rPr>
          <w:sz w:val="20"/>
        </w:rPr>
        <w:t>Consider synchronized sharing schemes for green field unlicensed/shared band</w:t>
      </w:r>
    </w:p>
    <w:p w14:paraId="0A9D7634" w14:textId="77777777" w:rsidR="0075101C" w:rsidRPr="00FA2D11"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p4 \h </w:instrText>
      </w:r>
      <w:r>
        <w:rPr>
          <w:sz w:val="22"/>
        </w:rPr>
      </w:r>
      <w:r>
        <w:rPr>
          <w:sz w:val="22"/>
        </w:rPr>
        <w:fldChar w:fldCharType="separate"/>
      </w:r>
      <w:r w:rsidR="0075101C" w:rsidRPr="007B0C5F">
        <w:rPr>
          <w:sz w:val="20"/>
        </w:rPr>
        <w:t xml:space="preserve">Observation </w:t>
      </w:r>
      <w:r w:rsidR="0075101C">
        <w:rPr>
          <w:noProof/>
          <w:sz w:val="20"/>
        </w:rPr>
        <w:t>4</w:t>
      </w:r>
      <w:r w:rsidR="0075101C">
        <w:rPr>
          <w:sz w:val="20"/>
        </w:rPr>
        <w:t>:</w:t>
      </w:r>
      <w:r w:rsidR="0075101C" w:rsidRPr="00FA2D11">
        <w:rPr>
          <w:sz w:val="20"/>
        </w:rPr>
        <w:t xml:space="preserve"> Multiple switching points in a TxOP enables introduction of receiver based channel reservation schemes</w:t>
      </w:r>
    </w:p>
    <w:p w14:paraId="77B68149" w14:textId="77777777" w:rsidR="0075101C"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p5 \h </w:instrText>
      </w:r>
      <w:r>
        <w:rPr>
          <w:sz w:val="22"/>
        </w:rPr>
      </w:r>
      <w:r>
        <w:rPr>
          <w:sz w:val="22"/>
        </w:rPr>
        <w:fldChar w:fldCharType="separate"/>
      </w:r>
      <w:r w:rsidR="0075101C" w:rsidRPr="007B0C5F">
        <w:rPr>
          <w:sz w:val="20"/>
        </w:rPr>
        <w:t xml:space="preserve">Observation </w:t>
      </w:r>
      <w:r w:rsidR="0075101C">
        <w:rPr>
          <w:noProof/>
          <w:sz w:val="20"/>
        </w:rPr>
        <w:t>5</w:t>
      </w:r>
      <w:r w:rsidR="0075101C">
        <w:rPr>
          <w:sz w:val="20"/>
        </w:rPr>
        <w:t>: Multiple switching points in a TxOP enables faster link adaptation and better user selection leading to significantly improved system efficiency</w:t>
      </w:r>
    </w:p>
    <w:p w14:paraId="2485CB07" w14:textId="77777777" w:rsidR="0075101C" w:rsidRPr="002236FA"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p6 \h </w:instrText>
      </w:r>
      <w:r>
        <w:rPr>
          <w:sz w:val="22"/>
        </w:rPr>
      </w:r>
      <w:r>
        <w:rPr>
          <w:sz w:val="22"/>
        </w:rPr>
        <w:fldChar w:fldCharType="separate"/>
      </w:r>
      <w:r w:rsidR="0075101C">
        <w:rPr>
          <w:sz w:val="20"/>
        </w:rPr>
        <w:t>Proposal</w:t>
      </w:r>
      <w:r w:rsidR="0075101C" w:rsidRPr="007B0C5F">
        <w:rPr>
          <w:sz w:val="20"/>
        </w:rPr>
        <w:t xml:space="preserve"> </w:t>
      </w:r>
      <w:r w:rsidR="0075101C">
        <w:rPr>
          <w:noProof/>
          <w:sz w:val="20"/>
        </w:rPr>
        <w:t>6</w:t>
      </w:r>
      <w:r w:rsidR="0075101C">
        <w:rPr>
          <w:sz w:val="20"/>
        </w:rPr>
        <w:t xml:space="preserve">: </w:t>
      </w:r>
      <w:r w:rsidR="0075101C" w:rsidRPr="002236FA">
        <w:rPr>
          <w:sz w:val="20"/>
        </w:rPr>
        <w:t>Switches between DL and UL for exchange of control information during data transmission should be supported. The switching should not require any LBT when the gap is within the regulatory requirements. This includes</w:t>
      </w:r>
    </w:p>
    <w:p w14:paraId="3BCA8B3C" w14:textId="77777777" w:rsidR="0075101C" w:rsidRPr="002236FA" w:rsidRDefault="0075101C" w:rsidP="00601374">
      <w:pPr>
        <w:pStyle w:val="LGTdoc1"/>
        <w:numPr>
          <w:ilvl w:val="0"/>
          <w:numId w:val="37"/>
        </w:numPr>
        <w:kinsoku w:val="0"/>
        <w:overflowPunct w:val="0"/>
        <w:spacing w:beforeLines="0" w:before="120" w:after="0" w:afterAutospacing="0"/>
        <w:rPr>
          <w:sz w:val="20"/>
        </w:rPr>
      </w:pPr>
      <w:r w:rsidRPr="002236FA">
        <w:rPr>
          <w:sz w:val="20"/>
        </w:rPr>
        <w:t>UCI transmission such as for HARQ ACK</w:t>
      </w:r>
      <w:r>
        <w:rPr>
          <w:sz w:val="20"/>
        </w:rPr>
        <w:t>/CSI feedback</w:t>
      </w:r>
      <w:r w:rsidRPr="002236FA">
        <w:rPr>
          <w:sz w:val="20"/>
        </w:rPr>
        <w:t xml:space="preserve"> between DL slots carrying PDCCH/PDSCH</w:t>
      </w:r>
    </w:p>
    <w:p w14:paraId="502FB076" w14:textId="5C2964FA" w:rsidR="00F944B0" w:rsidRDefault="0075101C" w:rsidP="00601374">
      <w:pPr>
        <w:pStyle w:val="LGTdoc1"/>
        <w:numPr>
          <w:ilvl w:val="0"/>
          <w:numId w:val="37"/>
        </w:numPr>
        <w:kinsoku w:val="0"/>
        <w:overflowPunct w:val="0"/>
        <w:spacing w:beforeLines="0" w:before="120" w:after="0" w:afterAutospacing="0"/>
        <w:rPr>
          <w:sz w:val="22"/>
        </w:rPr>
      </w:pPr>
      <w:r w:rsidRPr="002236FA">
        <w:rPr>
          <w:sz w:val="20"/>
        </w:rPr>
        <w:t>DCI transmission such as for UL grants between UL slots carrying PUCCH/PUSCH</w:t>
      </w:r>
      <w:r w:rsidR="00F944B0">
        <w:rPr>
          <w:sz w:val="22"/>
        </w:rPr>
        <w:fldChar w:fldCharType="end"/>
      </w:r>
    </w:p>
    <w:p w14:paraId="593D1E27" w14:textId="77777777" w:rsidR="0075101C" w:rsidRDefault="00F944B0" w:rsidP="00601374">
      <w:pPr>
        <w:pStyle w:val="LGTdoc1"/>
        <w:kinsoku w:val="0"/>
        <w:overflowPunct w:val="0"/>
        <w:spacing w:beforeLines="0" w:before="120" w:after="0" w:afterAutospacing="0"/>
        <w:rPr>
          <w:sz w:val="20"/>
        </w:rPr>
      </w:pPr>
      <w:r>
        <w:rPr>
          <w:sz w:val="22"/>
        </w:rPr>
        <w:lastRenderedPageBreak/>
        <w:fldChar w:fldCharType="begin"/>
      </w:r>
      <w:r>
        <w:rPr>
          <w:sz w:val="22"/>
        </w:rPr>
        <w:instrText xml:space="preserve"> REF p7 \h </w:instrText>
      </w:r>
      <w:r>
        <w:rPr>
          <w:sz w:val="22"/>
        </w:rPr>
      </w:r>
      <w:r>
        <w:rPr>
          <w:sz w:val="22"/>
        </w:rPr>
        <w:fldChar w:fldCharType="separate"/>
      </w:r>
      <w:r w:rsidR="0075101C" w:rsidRPr="006C212E">
        <w:rPr>
          <w:sz w:val="20"/>
        </w:rPr>
        <w:t xml:space="preserve">Proposal </w:t>
      </w:r>
      <w:r w:rsidR="0075101C">
        <w:rPr>
          <w:noProof/>
          <w:sz w:val="20"/>
        </w:rPr>
        <w:t>7</w:t>
      </w:r>
      <w:r w:rsidR="0075101C" w:rsidRPr="006C212E">
        <w:rPr>
          <w:sz w:val="20"/>
        </w:rPr>
        <w:t>: Consider techniques such as use of wake-up signal to reduce power consumption impact of allowing multiple start locations for a TxOP</w:t>
      </w:r>
    </w:p>
    <w:p w14:paraId="3C3007B2" w14:textId="77777777" w:rsidR="0075101C" w:rsidRDefault="00F944B0" w:rsidP="00601374">
      <w:pPr>
        <w:pStyle w:val="LGTdoc1"/>
        <w:kinsoku w:val="0"/>
        <w:overflowPunct w:val="0"/>
        <w:spacing w:beforeLines="0" w:before="120" w:after="0" w:afterAutospacing="0"/>
        <w:rPr>
          <w:sz w:val="20"/>
        </w:rPr>
      </w:pPr>
      <w:r>
        <w:rPr>
          <w:sz w:val="22"/>
        </w:rPr>
        <w:fldChar w:fldCharType="end"/>
      </w:r>
      <w:r>
        <w:rPr>
          <w:sz w:val="22"/>
        </w:rPr>
        <w:fldChar w:fldCharType="begin"/>
      </w:r>
      <w:r>
        <w:rPr>
          <w:sz w:val="22"/>
        </w:rPr>
        <w:instrText xml:space="preserve"> REF p8 \h </w:instrText>
      </w:r>
      <w:r>
        <w:rPr>
          <w:sz w:val="22"/>
        </w:rPr>
      </w:r>
      <w:r>
        <w:rPr>
          <w:sz w:val="22"/>
        </w:rPr>
        <w:fldChar w:fldCharType="separate"/>
      </w:r>
      <w:r w:rsidR="0075101C" w:rsidRPr="006C212E">
        <w:rPr>
          <w:sz w:val="20"/>
        </w:rPr>
        <w:t xml:space="preserve">Proposal </w:t>
      </w:r>
      <w:r w:rsidR="0075101C">
        <w:rPr>
          <w:noProof/>
          <w:sz w:val="20"/>
        </w:rPr>
        <w:t>8</w:t>
      </w:r>
      <w:r w:rsidR="0075101C" w:rsidRPr="006C212E">
        <w:rPr>
          <w:sz w:val="20"/>
        </w:rPr>
        <w:t xml:space="preserve">: </w:t>
      </w:r>
      <w:r w:rsidR="0075101C">
        <w:rPr>
          <w:sz w:val="20"/>
        </w:rPr>
        <w:t>For the first data transmission after an LBT opportunity, NR-U supports rate matching of PDSCH/PUSCH for a larger number of symbols than those used for data transmission in combination with symbol level puncturing</w:t>
      </w:r>
    </w:p>
    <w:p w14:paraId="2660C609" w14:textId="77777777" w:rsidR="0075101C"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p9 \h </w:instrText>
      </w:r>
      <w:r>
        <w:rPr>
          <w:sz w:val="22"/>
        </w:rPr>
      </w:r>
      <w:r>
        <w:rPr>
          <w:sz w:val="22"/>
        </w:rPr>
        <w:fldChar w:fldCharType="separate"/>
      </w:r>
      <w:r w:rsidR="0075101C">
        <w:rPr>
          <w:b/>
          <w:lang w:eastAsia="en-US"/>
        </w:rPr>
        <w:t>Observation</w:t>
      </w:r>
      <w:r w:rsidR="0075101C" w:rsidRPr="00977EAA">
        <w:rPr>
          <w:b/>
          <w:lang w:eastAsia="en-US"/>
        </w:rPr>
        <w:t xml:space="preserve"> </w:t>
      </w:r>
      <w:r w:rsidR="0075101C">
        <w:rPr>
          <w:b/>
          <w:noProof/>
          <w:lang w:eastAsia="en-US"/>
        </w:rPr>
        <w:t>9</w:t>
      </w:r>
      <w:r w:rsidR="0075101C" w:rsidRPr="00977EAA">
        <w:rPr>
          <w:b/>
          <w:lang w:eastAsia="en-US"/>
        </w:rPr>
        <w:t xml:space="preserve">. </w:t>
      </w:r>
      <w:r w:rsidR="0075101C">
        <w:rPr>
          <w:b/>
          <w:lang w:eastAsia="en-US"/>
        </w:rPr>
        <w:t>S</w:t>
      </w:r>
      <w:r w:rsidR="0075101C" w:rsidRPr="00977EAA">
        <w:rPr>
          <w:b/>
          <w:lang w:eastAsia="en-US"/>
        </w:rPr>
        <w:t xml:space="preserve">ingle operator FBE </w:t>
      </w:r>
      <w:r w:rsidR="0075101C">
        <w:rPr>
          <w:b/>
          <w:lang w:eastAsia="en-US"/>
        </w:rPr>
        <w:t>based system can be supported with Rel.15 NR design with one shot LBT mechanism developed for NR-U</w:t>
      </w:r>
    </w:p>
    <w:p w14:paraId="00EE2BFD" w14:textId="77777777" w:rsidR="0075101C"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p10 \h </w:instrText>
      </w:r>
      <w:r>
        <w:rPr>
          <w:sz w:val="22"/>
        </w:rPr>
      </w:r>
      <w:r>
        <w:rPr>
          <w:sz w:val="22"/>
        </w:rPr>
        <w:fldChar w:fldCharType="separate"/>
      </w:r>
      <w:r w:rsidR="0075101C">
        <w:rPr>
          <w:b/>
          <w:lang w:eastAsia="en-US"/>
        </w:rPr>
        <w:t>Proposal</w:t>
      </w:r>
      <w:r w:rsidR="0075101C" w:rsidRPr="00977EAA">
        <w:rPr>
          <w:b/>
          <w:lang w:eastAsia="en-US"/>
        </w:rPr>
        <w:t xml:space="preserve"> </w:t>
      </w:r>
      <w:r w:rsidR="0075101C">
        <w:rPr>
          <w:b/>
          <w:noProof/>
          <w:lang w:eastAsia="en-US"/>
        </w:rPr>
        <w:t>10</w:t>
      </w:r>
      <w:r w:rsidR="0075101C" w:rsidRPr="00977EAA">
        <w:rPr>
          <w:b/>
          <w:lang w:eastAsia="en-US"/>
        </w:rPr>
        <w:t xml:space="preserve">. </w:t>
      </w:r>
      <w:r w:rsidR="0075101C">
        <w:rPr>
          <w:b/>
          <w:lang w:eastAsia="en-US"/>
        </w:rPr>
        <w:t>To achieve reuse 1 operation for single operator FBE system, synchronization across gNBs is needed, with synchronized fixed frame period starting time, and synchronized LBT gap within a COT.</w:t>
      </w:r>
    </w:p>
    <w:p w14:paraId="79CCA136" w14:textId="77777777" w:rsidR="0075101C"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p11 \h </w:instrText>
      </w:r>
      <w:r>
        <w:rPr>
          <w:sz w:val="22"/>
        </w:rPr>
      </w:r>
      <w:r>
        <w:rPr>
          <w:sz w:val="22"/>
        </w:rPr>
        <w:fldChar w:fldCharType="separate"/>
      </w:r>
      <w:r w:rsidR="0075101C" w:rsidRPr="0065145B">
        <w:rPr>
          <w:b/>
          <w:lang w:eastAsia="en-US"/>
        </w:rPr>
        <w:t xml:space="preserve">Proposal </w:t>
      </w:r>
      <w:r w:rsidR="0075101C">
        <w:rPr>
          <w:b/>
          <w:noProof/>
          <w:lang w:eastAsia="en-US"/>
        </w:rPr>
        <w:t>11</w:t>
      </w:r>
      <w:r w:rsidR="0075101C">
        <w:rPr>
          <w:b/>
          <w:lang w:eastAsia="en-US"/>
        </w:rPr>
        <w:t>:</w:t>
      </w:r>
      <w:r w:rsidR="0075101C" w:rsidRPr="0065145B">
        <w:rPr>
          <w:b/>
          <w:lang w:eastAsia="en-US"/>
        </w:rPr>
        <w:t xml:space="preserve"> </w:t>
      </w:r>
      <w:r w:rsidR="0075101C">
        <w:rPr>
          <w:b/>
          <w:lang w:eastAsia="en-US"/>
        </w:rPr>
        <w:t>To support multiple operator FBE system, synchronization across gNBs of different operators is needed.</w:t>
      </w:r>
    </w:p>
    <w:p w14:paraId="283883D5" w14:textId="77777777" w:rsidR="0075101C" w:rsidRDefault="00F944B0" w:rsidP="00601374">
      <w:pPr>
        <w:pStyle w:val="body"/>
        <w:kinsoku w:val="0"/>
        <w:overflowPunct w:val="0"/>
        <w:spacing w:after="0"/>
        <w:rPr>
          <w:b/>
          <w:lang w:eastAsia="en-US"/>
        </w:rPr>
      </w:pPr>
      <w:r>
        <w:rPr>
          <w:sz w:val="22"/>
        </w:rPr>
        <w:fldChar w:fldCharType="end"/>
      </w:r>
      <w:r>
        <w:rPr>
          <w:sz w:val="22"/>
        </w:rPr>
        <w:fldChar w:fldCharType="begin"/>
      </w:r>
      <w:r>
        <w:rPr>
          <w:sz w:val="22"/>
        </w:rPr>
        <w:instrText xml:space="preserve"> REF p12 \h </w:instrText>
      </w:r>
      <w:r>
        <w:rPr>
          <w:sz w:val="22"/>
        </w:rPr>
      </w:r>
      <w:r>
        <w:rPr>
          <w:sz w:val="22"/>
        </w:rPr>
        <w:fldChar w:fldCharType="separate"/>
      </w:r>
      <w:r w:rsidR="0075101C" w:rsidRPr="0065145B">
        <w:rPr>
          <w:b/>
          <w:lang w:eastAsia="en-US"/>
        </w:rPr>
        <w:t xml:space="preserve">Proposal </w:t>
      </w:r>
      <w:r w:rsidR="0075101C">
        <w:rPr>
          <w:b/>
          <w:noProof/>
          <w:lang w:eastAsia="en-US"/>
        </w:rPr>
        <w:t>12</w:t>
      </w:r>
      <w:r w:rsidR="0075101C">
        <w:rPr>
          <w:b/>
          <w:lang w:eastAsia="en-US"/>
        </w:rPr>
        <w:t>:</w:t>
      </w:r>
      <w:r w:rsidR="0075101C" w:rsidRPr="0065145B">
        <w:rPr>
          <w:b/>
          <w:lang w:eastAsia="en-US"/>
        </w:rPr>
        <w:t xml:space="preserve"> </w:t>
      </w:r>
      <w:r w:rsidR="0075101C">
        <w:rPr>
          <w:b/>
          <w:lang w:eastAsia="en-US"/>
        </w:rPr>
        <w:t>Contention slots are introduced for FBE channel access mechanism with cross operator contention coordination specified.</w:t>
      </w:r>
    </w:p>
    <w:p w14:paraId="7E4469DA" w14:textId="77777777" w:rsidR="0075101C" w:rsidRPr="00DF0720" w:rsidRDefault="00F944B0" w:rsidP="00601374">
      <w:pPr>
        <w:kinsoku w:val="0"/>
        <w:wordWrap/>
        <w:overflowPunct w:val="0"/>
        <w:rPr>
          <w:rFonts w:ascii="Times New Roman"/>
          <w:b/>
          <w:lang w:eastAsia="en-US"/>
        </w:rPr>
      </w:pPr>
      <w:r>
        <w:rPr>
          <w:sz w:val="22"/>
        </w:rPr>
        <w:fldChar w:fldCharType="end"/>
      </w:r>
      <w:r w:rsidR="00601374">
        <w:rPr>
          <w:sz w:val="22"/>
        </w:rPr>
        <w:fldChar w:fldCharType="begin"/>
      </w:r>
      <w:r w:rsidR="00601374">
        <w:rPr>
          <w:sz w:val="22"/>
        </w:rPr>
        <w:instrText xml:space="preserve"> REF p13 \h </w:instrText>
      </w:r>
      <w:r w:rsidR="00601374">
        <w:rPr>
          <w:sz w:val="22"/>
        </w:rPr>
      </w:r>
      <w:r w:rsidR="00601374">
        <w:rPr>
          <w:sz w:val="22"/>
        </w:rPr>
        <w:fldChar w:fldCharType="separate"/>
      </w:r>
      <w:r w:rsidR="0075101C" w:rsidRPr="00601374">
        <w:rPr>
          <w:rFonts w:ascii="Times New Roman"/>
          <w:b/>
          <w:snapToGrid w:val="0"/>
          <w:kern w:val="0"/>
          <w:szCs w:val="20"/>
          <w:lang w:val="en-GB" w:eastAsia="en-US"/>
        </w:rPr>
        <w:t xml:space="preserve">Proposal </w:t>
      </w:r>
      <w:r w:rsidR="0075101C">
        <w:rPr>
          <w:rFonts w:ascii="Times New Roman"/>
          <w:b/>
          <w:noProof/>
          <w:snapToGrid w:val="0"/>
          <w:kern w:val="0"/>
          <w:szCs w:val="20"/>
          <w:lang w:val="en-GB" w:eastAsia="en-US"/>
        </w:rPr>
        <w:t>13</w:t>
      </w:r>
      <w:r w:rsidR="0075101C" w:rsidRPr="00601374">
        <w:rPr>
          <w:rFonts w:ascii="Times New Roman"/>
          <w:b/>
          <w:snapToGrid w:val="0"/>
          <w:kern w:val="0"/>
          <w:szCs w:val="20"/>
          <w:lang w:val="en-GB" w:eastAsia="en-US"/>
        </w:rPr>
        <w:t xml:space="preserve">: </w:t>
      </w:r>
      <w:r w:rsidR="0075101C" w:rsidRPr="00601374">
        <w:rPr>
          <w:rFonts w:ascii="Times New Roman"/>
          <w:b/>
          <w:lang w:eastAsia="en-US"/>
        </w:rPr>
        <w:t xml:space="preserve">NR-U supports </w:t>
      </w:r>
      <w:r w:rsidR="0075101C">
        <w:rPr>
          <w:rFonts w:ascii="Times New Roman"/>
          <w:b/>
          <w:lang w:eastAsia="en-US"/>
        </w:rPr>
        <w:t>wideband operation where m</w:t>
      </w:r>
      <w:r w:rsidR="0075101C" w:rsidRPr="00DF0720">
        <w:rPr>
          <w:rFonts w:ascii="Times New Roman"/>
          <w:b/>
          <w:lang w:eastAsia="en-US"/>
        </w:rPr>
        <w:t xml:space="preserve">ultiple BWPs can be configured, </w:t>
      </w:r>
      <w:r w:rsidR="0075101C">
        <w:rPr>
          <w:rFonts w:ascii="Times New Roman"/>
          <w:b/>
          <w:lang w:eastAsia="en-US"/>
        </w:rPr>
        <w:t xml:space="preserve">only a </w:t>
      </w:r>
      <w:r w:rsidR="0075101C" w:rsidRPr="00DF0720">
        <w:rPr>
          <w:rFonts w:ascii="Times New Roman"/>
          <w:b/>
          <w:lang w:eastAsia="en-US"/>
        </w:rPr>
        <w:t xml:space="preserve">single BWP </w:t>
      </w:r>
      <w:r w:rsidR="0075101C">
        <w:rPr>
          <w:rFonts w:ascii="Times New Roman"/>
          <w:b/>
          <w:lang w:eastAsia="en-US"/>
        </w:rPr>
        <w:t xml:space="preserve">can be </w:t>
      </w:r>
      <w:r w:rsidR="0075101C" w:rsidRPr="00DF0720">
        <w:rPr>
          <w:rFonts w:ascii="Times New Roman"/>
          <w:b/>
          <w:lang w:eastAsia="en-US"/>
        </w:rPr>
        <w:t>activated,</w:t>
      </w:r>
      <w:r w:rsidR="0075101C">
        <w:rPr>
          <w:rFonts w:ascii="Times New Roman"/>
          <w:b/>
          <w:lang w:eastAsia="en-US"/>
        </w:rPr>
        <w:t xml:space="preserve"> and</w:t>
      </w:r>
      <w:r w:rsidR="0075101C" w:rsidRPr="00DF0720">
        <w:rPr>
          <w:rFonts w:ascii="Times New Roman"/>
          <w:b/>
          <w:lang w:eastAsia="en-US"/>
        </w:rPr>
        <w:t xml:space="preserve"> gNB </w:t>
      </w:r>
      <w:r w:rsidR="0075101C">
        <w:rPr>
          <w:rFonts w:ascii="Times New Roman"/>
          <w:b/>
          <w:lang w:eastAsia="en-US"/>
        </w:rPr>
        <w:t xml:space="preserve">can </w:t>
      </w:r>
      <w:r w:rsidR="0075101C" w:rsidRPr="00DF0720">
        <w:rPr>
          <w:rFonts w:ascii="Times New Roman"/>
          <w:b/>
          <w:lang w:eastAsia="en-US"/>
        </w:rPr>
        <w:t>transmit PDSCH on parts or whole of single BWP where CCA is successful at gNB</w:t>
      </w:r>
      <w:r w:rsidR="0075101C" w:rsidRPr="00601374">
        <w:rPr>
          <w:rFonts w:ascii="Times New Roman"/>
          <w:b/>
          <w:lang w:eastAsia="en-US"/>
        </w:rPr>
        <w:t>.</w:t>
      </w:r>
    </w:p>
    <w:p w14:paraId="5164CA8E" w14:textId="5CA67590" w:rsidR="00437DE3" w:rsidRDefault="00601374" w:rsidP="00601374">
      <w:pPr>
        <w:kinsoku w:val="0"/>
        <w:wordWrap/>
        <w:overflowPunct w:val="0"/>
        <w:rPr>
          <w:sz w:val="22"/>
        </w:rPr>
      </w:pPr>
      <w:r>
        <w:rPr>
          <w:sz w:val="22"/>
        </w:rPr>
        <w:fldChar w:fldCharType="end"/>
      </w:r>
    </w:p>
    <w:p w14:paraId="47A6B625" w14:textId="3D1C781A" w:rsidR="00E77804" w:rsidRDefault="00E77804" w:rsidP="00601374">
      <w:pPr>
        <w:pStyle w:val="Heading1"/>
        <w:kinsoku w:val="0"/>
        <w:spacing w:after="0"/>
      </w:pPr>
      <w:r>
        <w:t>References</w:t>
      </w:r>
    </w:p>
    <w:p w14:paraId="2DFA7387" w14:textId="09F1C9BA" w:rsidR="007560B7" w:rsidRDefault="00E77804" w:rsidP="00601374">
      <w:pPr>
        <w:pStyle w:val="LGTdoc1"/>
        <w:kinsoku w:val="0"/>
        <w:overflowPunct w:val="0"/>
        <w:spacing w:before="120" w:after="0" w:afterAutospacing="0"/>
        <w:rPr>
          <w:b w:val="0"/>
          <w:sz w:val="20"/>
        </w:rPr>
      </w:pPr>
      <w:r w:rsidRPr="0099677A">
        <w:rPr>
          <w:b w:val="0"/>
          <w:sz w:val="20"/>
        </w:rPr>
        <w:t xml:space="preserve">[1] </w:t>
      </w:r>
      <w:bookmarkStart w:id="29" w:name="_Hlk506453951"/>
      <w:r w:rsidR="00B559A2" w:rsidRPr="0099677A">
        <w:rPr>
          <w:b w:val="0"/>
          <w:sz w:val="20"/>
        </w:rPr>
        <w:t xml:space="preserve">RP-172021, </w:t>
      </w:r>
      <w:r w:rsidR="001D3F02" w:rsidRPr="0099677A">
        <w:rPr>
          <w:b w:val="0"/>
          <w:sz w:val="20"/>
        </w:rPr>
        <w:t>“</w:t>
      </w:r>
      <w:r w:rsidR="00B559A2" w:rsidRPr="0099677A">
        <w:rPr>
          <w:b w:val="0"/>
          <w:sz w:val="20"/>
        </w:rPr>
        <w:t>Revised SID on NR-based Access to Unlicensed Spectrum</w:t>
      </w:r>
      <w:bookmarkStart w:id="30" w:name="_Hlk506208058"/>
      <w:r w:rsidR="001D3F02" w:rsidRPr="0099677A">
        <w:rPr>
          <w:b w:val="0"/>
          <w:sz w:val="20"/>
        </w:rPr>
        <w:t>”</w:t>
      </w:r>
      <w:r w:rsidR="00B559A2" w:rsidRPr="0099677A">
        <w:rPr>
          <w:b w:val="0"/>
          <w:sz w:val="20"/>
        </w:rPr>
        <w:t>, Qualcomm Incorporated, RAN#77</w:t>
      </w:r>
      <w:bookmarkEnd w:id="30"/>
      <w:r w:rsidR="00947B6C" w:rsidRPr="0099677A">
        <w:rPr>
          <w:b w:val="0"/>
          <w:sz w:val="20"/>
        </w:rPr>
        <w:t>, Sapporo, Japan, 11-14 Sep. 2017.</w:t>
      </w:r>
    </w:p>
    <w:p w14:paraId="5F79DCE6" w14:textId="77777777" w:rsidR="00C21996" w:rsidRDefault="00847992" w:rsidP="00601374">
      <w:pPr>
        <w:pStyle w:val="LGTdoc1"/>
        <w:kinsoku w:val="0"/>
        <w:overflowPunct w:val="0"/>
        <w:spacing w:before="120" w:after="0" w:afterAutospacing="0"/>
        <w:rPr>
          <w:b w:val="0"/>
          <w:sz w:val="20"/>
        </w:rPr>
      </w:pPr>
      <w:r w:rsidRPr="00522BEB">
        <w:rPr>
          <w:b w:val="0"/>
          <w:sz w:val="20"/>
        </w:rPr>
        <w:t>[2] RP-181339, “Revised SID on NR-based Access to Unlicensed Spectrum”, Qualcomm Incorporated, RAN#80, La Jolla, USA, June 11-14, 2018.</w:t>
      </w:r>
    </w:p>
    <w:p w14:paraId="64F80C46" w14:textId="034093FC" w:rsidR="003B7920" w:rsidRDefault="003B7920" w:rsidP="00601374">
      <w:pPr>
        <w:pStyle w:val="LGTdoc1"/>
        <w:kinsoku w:val="0"/>
        <w:overflowPunct w:val="0"/>
        <w:spacing w:before="120" w:after="0" w:afterAutospacing="0"/>
        <w:rPr>
          <w:b w:val="0"/>
          <w:sz w:val="20"/>
        </w:rPr>
      </w:pPr>
      <w:r>
        <w:rPr>
          <w:b w:val="0"/>
          <w:sz w:val="20"/>
        </w:rPr>
        <w:t>[</w:t>
      </w:r>
      <w:r w:rsidR="00847992">
        <w:rPr>
          <w:b w:val="0"/>
          <w:sz w:val="20"/>
        </w:rPr>
        <w:t>3</w:t>
      </w:r>
      <w:r>
        <w:rPr>
          <w:b w:val="0"/>
          <w:sz w:val="20"/>
        </w:rPr>
        <w:t>] ETSI EN 301 893 “</w:t>
      </w:r>
      <w:r w:rsidRPr="003B7920">
        <w:rPr>
          <w:b w:val="0"/>
          <w:sz w:val="20"/>
        </w:rPr>
        <w:t>5 GHz RLAN;</w:t>
      </w:r>
      <w:r>
        <w:rPr>
          <w:b w:val="0"/>
          <w:sz w:val="20"/>
        </w:rPr>
        <w:t xml:space="preserve"> </w:t>
      </w:r>
      <w:r w:rsidRPr="003B7920">
        <w:rPr>
          <w:b w:val="0"/>
          <w:sz w:val="20"/>
        </w:rPr>
        <w:t>Harmonised Standard covering the essential requirements</w:t>
      </w:r>
      <w:r>
        <w:rPr>
          <w:b w:val="0"/>
          <w:sz w:val="20"/>
        </w:rPr>
        <w:t xml:space="preserve"> </w:t>
      </w:r>
      <w:r w:rsidRPr="003B7920">
        <w:rPr>
          <w:b w:val="0"/>
          <w:sz w:val="20"/>
        </w:rPr>
        <w:t>of article 3.2 of Directive 2014/53/EU</w:t>
      </w:r>
      <w:r>
        <w:rPr>
          <w:b w:val="0"/>
          <w:sz w:val="20"/>
        </w:rPr>
        <w:t>” v2.1.1, May 2017.</w:t>
      </w:r>
    </w:p>
    <w:p w14:paraId="4506C9D1" w14:textId="01CE2912" w:rsidR="0077537A" w:rsidRPr="0099677A" w:rsidRDefault="0077537A" w:rsidP="00601374">
      <w:pPr>
        <w:pStyle w:val="LGTdoc1"/>
        <w:kinsoku w:val="0"/>
        <w:overflowPunct w:val="0"/>
        <w:spacing w:before="120" w:after="0" w:afterAutospacing="0"/>
        <w:rPr>
          <w:b w:val="0"/>
          <w:sz w:val="20"/>
        </w:rPr>
      </w:pPr>
      <w:r>
        <w:rPr>
          <w:b w:val="0"/>
          <w:sz w:val="20"/>
        </w:rPr>
        <w:t>[</w:t>
      </w:r>
      <w:r w:rsidR="00847992">
        <w:rPr>
          <w:b w:val="0"/>
          <w:sz w:val="20"/>
        </w:rPr>
        <w:t>4</w:t>
      </w:r>
      <w:r>
        <w:rPr>
          <w:b w:val="0"/>
          <w:sz w:val="20"/>
        </w:rPr>
        <w:t>] R1-18</w:t>
      </w:r>
      <w:r w:rsidR="00D7190A">
        <w:rPr>
          <w:b w:val="0"/>
          <w:sz w:val="20"/>
        </w:rPr>
        <w:t>0</w:t>
      </w:r>
      <w:r w:rsidR="00876D6D">
        <w:rPr>
          <w:b w:val="0"/>
          <w:sz w:val="20"/>
        </w:rPr>
        <w:t>7389</w:t>
      </w:r>
      <w:r>
        <w:rPr>
          <w:b w:val="0"/>
          <w:sz w:val="20"/>
        </w:rPr>
        <w:t>, “</w:t>
      </w:r>
      <w:r w:rsidR="00876D6D" w:rsidRPr="00876D6D">
        <w:rPr>
          <w:b w:val="0"/>
          <w:sz w:val="20"/>
        </w:rPr>
        <w:t>Channel access procedures for NR unlicensed</w:t>
      </w:r>
      <w:r w:rsidRPr="0099677A">
        <w:rPr>
          <w:b w:val="0"/>
          <w:sz w:val="20"/>
        </w:rPr>
        <w:t>”, Qualcomm Incorporated, RAN</w:t>
      </w:r>
      <w:r>
        <w:rPr>
          <w:b w:val="0"/>
          <w:sz w:val="20"/>
        </w:rPr>
        <w:t>1#9</w:t>
      </w:r>
      <w:r w:rsidR="00876D6D">
        <w:rPr>
          <w:b w:val="0"/>
          <w:sz w:val="20"/>
        </w:rPr>
        <w:t>3</w:t>
      </w:r>
      <w:r w:rsidRPr="0099677A">
        <w:rPr>
          <w:b w:val="0"/>
          <w:sz w:val="20"/>
        </w:rPr>
        <w:t xml:space="preserve">, </w:t>
      </w:r>
      <w:r w:rsidR="00876D6D">
        <w:rPr>
          <w:b w:val="0"/>
          <w:sz w:val="20"/>
        </w:rPr>
        <w:t>Busan, Korea</w:t>
      </w:r>
    </w:p>
    <w:bookmarkEnd w:id="29"/>
    <w:p w14:paraId="54FCC4B1" w14:textId="7A76D3F6" w:rsidR="003A4E18" w:rsidRDefault="003A4E18" w:rsidP="00601374">
      <w:pPr>
        <w:pStyle w:val="LGTdoc1"/>
        <w:kinsoku w:val="0"/>
        <w:overflowPunct w:val="0"/>
        <w:spacing w:before="120" w:after="0" w:afterAutospacing="0"/>
        <w:rPr>
          <w:b w:val="0"/>
          <w:sz w:val="20"/>
        </w:rPr>
      </w:pPr>
      <w:r w:rsidRPr="00C21996">
        <w:rPr>
          <w:b w:val="0"/>
          <w:sz w:val="20"/>
        </w:rPr>
        <w:t>[5] Chairman’s Notes RAN1 93 final, Busan, Korea, May 21–25, 2018.</w:t>
      </w:r>
    </w:p>
    <w:p w14:paraId="5DC28D14" w14:textId="4B07D365" w:rsidR="005B39FE" w:rsidRPr="00C21996" w:rsidRDefault="005B39FE" w:rsidP="005B39FE">
      <w:pPr>
        <w:pStyle w:val="LGTdoc1"/>
        <w:kinsoku w:val="0"/>
        <w:overflowPunct w:val="0"/>
        <w:spacing w:before="120" w:after="0" w:afterAutospacing="0"/>
        <w:rPr>
          <w:b w:val="0"/>
          <w:sz w:val="20"/>
        </w:rPr>
      </w:pPr>
      <w:r w:rsidRPr="00C21996">
        <w:rPr>
          <w:b w:val="0"/>
          <w:sz w:val="20"/>
        </w:rPr>
        <w:t>[</w:t>
      </w:r>
      <w:r>
        <w:rPr>
          <w:b w:val="0"/>
          <w:sz w:val="20"/>
        </w:rPr>
        <w:t>6</w:t>
      </w:r>
      <w:r w:rsidRPr="00C21996">
        <w:rPr>
          <w:b w:val="0"/>
          <w:sz w:val="20"/>
        </w:rPr>
        <w:t>] Chairman’s Notes RAN1 9</w:t>
      </w:r>
      <w:r>
        <w:rPr>
          <w:b w:val="0"/>
          <w:sz w:val="20"/>
        </w:rPr>
        <w:t>4</w:t>
      </w:r>
      <w:r w:rsidRPr="00C21996">
        <w:rPr>
          <w:b w:val="0"/>
          <w:sz w:val="20"/>
        </w:rPr>
        <w:t xml:space="preserve"> final, </w:t>
      </w:r>
      <w:r>
        <w:rPr>
          <w:b w:val="0"/>
          <w:sz w:val="20"/>
        </w:rPr>
        <w:t>Gothenburg</w:t>
      </w:r>
      <w:r w:rsidRPr="00C21996">
        <w:rPr>
          <w:b w:val="0"/>
          <w:sz w:val="20"/>
        </w:rPr>
        <w:t xml:space="preserve">, </w:t>
      </w:r>
      <w:r>
        <w:rPr>
          <w:b w:val="0"/>
          <w:sz w:val="20"/>
        </w:rPr>
        <w:t>Sweden</w:t>
      </w:r>
      <w:r w:rsidRPr="00C21996">
        <w:rPr>
          <w:b w:val="0"/>
          <w:sz w:val="20"/>
        </w:rPr>
        <w:t xml:space="preserve">, </w:t>
      </w:r>
      <w:r w:rsidR="00A146B4">
        <w:rPr>
          <w:b w:val="0"/>
          <w:sz w:val="20"/>
        </w:rPr>
        <w:t>Aug.</w:t>
      </w:r>
      <w:r w:rsidRPr="00C21996">
        <w:rPr>
          <w:b w:val="0"/>
          <w:sz w:val="20"/>
        </w:rPr>
        <w:t xml:space="preserve"> 2</w:t>
      </w:r>
      <w:r w:rsidR="00A146B4">
        <w:rPr>
          <w:b w:val="0"/>
          <w:sz w:val="20"/>
        </w:rPr>
        <w:t>0</w:t>
      </w:r>
      <w:r w:rsidRPr="00C21996">
        <w:rPr>
          <w:b w:val="0"/>
          <w:sz w:val="20"/>
        </w:rPr>
        <w:t>–2</w:t>
      </w:r>
      <w:r w:rsidR="00A146B4">
        <w:rPr>
          <w:b w:val="0"/>
          <w:sz w:val="20"/>
        </w:rPr>
        <w:t>4</w:t>
      </w:r>
      <w:r w:rsidRPr="00C21996">
        <w:rPr>
          <w:b w:val="0"/>
          <w:sz w:val="20"/>
        </w:rPr>
        <w:t>, 2018.</w:t>
      </w:r>
    </w:p>
    <w:p w14:paraId="0BAB1CF9" w14:textId="1B5F740A" w:rsidR="005B39FE" w:rsidRPr="00C21996" w:rsidRDefault="005B39FE" w:rsidP="005B39FE">
      <w:pPr>
        <w:pStyle w:val="LGTdoc1"/>
        <w:kinsoku w:val="0"/>
        <w:overflowPunct w:val="0"/>
        <w:spacing w:before="120" w:after="0" w:afterAutospacing="0"/>
        <w:rPr>
          <w:b w:val="0"/>
          <w:sz w:val="20"/>
        </w:rPr>
      </w:pPr>
      <w:r w:rsidRPr="00C21996">
        <w:rPr>
          <w:b w:val="0"/>
          <w:sz w:val="20"/>
        </w:rPr>
        <w:t>[</w:t>
      </w:r>
      <w:r>
        <w:rPr>
          <w:b w:val="0"/>
          <w:sz w:val="20"/>
        </w:rPr>
        <w:t>7</w:t>
      </w:r>
      <w:r w:rsidRPr="00C21996">
        <w:rPr>
          <w:b w:val="0"/>
          <w:sz w:val="20"/>
        </w:rPr>
        <w:t>] Chairman’s Notes RAN1 9</w:t>
      </w:r>
      <w:r>
        <w:rPr>
          <w:b w:val="0"/>
          <w:sz w:val="20"/>
        </w:rPr>
        <w:t>4bis f</w:t>
      </w:r>
      <w:r w:rsidRPr="00C21996">
        <w:rPr>
          <w:b w:val="0"/>
          <w:sz w:val="20"/>
        </w:rPr>
        <w:t xml:space="preserve">inal, </w:t>
      </w:r>
      <w:r>
        <w:rPr>
          <w:b w:val="0"/>
          <w:sz w:val="20"/>
        </w:rPr>
        <w:t>Chengdu</w:t>
      </w:r>
      <w:r w:rsidRPr="00C21996">
        <w:rPr>
          <w:b w:val="0"/>
          <w:sz w:val="20"/>
        </w:rPr>
        <w:t xml:space="preserve">, </w:t>
      </w:r>
      <w:r>
        <w:rPr>
          <w:b w:val="0"/>
          <w:sz w:val="20"/>
        </w:rPr>
        <w:t>China</w:t>
      </w:r>
      <w:r w:rsidRPr="00C21996">
        <w:rPr>
          <w:b w:val="0"/>
          <w:sz w:val="20"/>
        </w:rPr>
        <w:t xml:space="preserve">, </w:t>
      </w:r>
      <w:r>
        <w:rPr>
          <w:b w:val="0"/>
          <w:sz w:val="20"/>
        </w:rPr>
        <w:t>Oct.</w:t>
      </w:r>
      <w:r w:rsidRPr="00C21996">
        <w:rPr>
          <w:b w:val="0"/>
          <w:sz w:val="20"/>
        </w:rPr>
        <w:t xml:space="preserve"> </w:t>
      </w:r>
      <w:r>
        <w:rPr>
          <w:b w:val="0"/>
          <w:sz w:val="20"/>
        </w:rPr>
        <w:t>8</w:t>
      </w:r>
      <w:r w:rsidRPr="00C21996">
        <w:rPr>
          <w:b w:val="0"/>
          <w:sz w:val="20"/>
        </w:rPr>
        <w:t>–</w:t>
      </w:r>
      <w:r>
        <w:rPr>
          <w:b w:val="0"/>
          <w:sz w:val="20"/>
        </w:rPr>
        <w:t>12</w:t>
      </w:r>
      <w:r w:rsidRPr="00C21996">
        <w:rPr>
          <w:b w:val="0"/>
          <w:sz w:val="20"/>
        </w:rPr>
        <w:t>, 2018.</w:t>
      </w:r>
    </w:p>
    <w:p w14:paraId="3BAE6D31" w14:textId="77777777" w:rsidR="005B39FE" w:rsidRPr="00C21996" w:rsidRDefault="005B39FE" w:rsidP="00601374">
      <w:pPr>
        <w:pStyle w:val="LGTdoc1"/>
        <w:kinsoku w:val="0"/>
        <w:overflowPunct w:val="0"/>
        <w:spacing w:before="120" w:after="0" w:afterAutospacing="0"/>
        <w:rPr>
          <w:b w:val="0"/>
          <w:sz w:val="20"/>
        </w:rPr>
      </w:pPr>
    </w:p>
    <w:p w14:paraId="2451782E" w14:textId="77777777" w:rsidR="00BB6420" w:rsidRDefault="00BB6420" w:rsidP="00601374">
      <w:pPr>
        <w:pStyle w:val="LGTdoc1"/>
        <w:kinsoku w:val="0"/>
        <w:overflowPunct w:val="0"/>
        <w:spacing w:before="120" w:after="0" w:afterAutospacing="0"/>
        <w:rPr>
          <w:b w:val="0"/>
          <w:sz w:val="22"/>
          <w:szCs w:val="22"/>
        </w:rPr>
      </w:pPr>
    </w:p>
    <w:sectPr w:rsidR="00BB6420" w:rsidSect="00B47B85">
      <w:footerReference w:type="even" r:id="rId32"/>
      <w:footerReference w:type="default" r:id="rId3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8493B" w14:textId="77777777" w:rsidR="00314C32" w:rsidRDefault="00314C32">
      <w:r>
        <w:separator/>
      </w:r>
    </w:p>
    <w:p w14:paraId="455E4509" w14:textId="77777777" w:rsidR="00314C32" w:rsidRDefault="00314C32"/>
    <w:p w14:paraId="4C8B33A0" w14:textId="77777777" w:rsidR="00314C32" w:rsidRDefault="00314C32"/>
  </w:endnote>
  <w:endnote w:type="continuationSeparator" w:id="0">
    <w:p w14:paraId="58D6B2E9" w14:textId="77777777" w:rsidR="00314C32" w:rsidRDefault="00314C32">
      <w:r>
        <w:continuationSeparator/>
      </w:r>
    </w:p>
    <w:p w14:paraId="3F9A838A" w14:textId="77777777" w:rsidR="00314C32" w:rsidRDefault="00314C32"/>
    <w:p w14:paraId="25B51861" w14:textId="77777777" w:rsidR="00314C32" w:rsidRDefault="00314C32"/>
  </w:endnote>
  <w:endnote w:type="continuationNotice" w:id="1">
    <w:p w14:paraId="397A4D00" w14:textId="77777777" w:rsidR="00314C32" w:rsidRDefault="00314C32"/>
    <w:p w14:paraId="23E8CC9F" w14:textId="77777777" w:rsidR="00314C32" w:rsidRDefault="00314C32"/>
    <w:p w14:paraId="34FEBE83" w14:textId="77777777" w:rsidR="00314C32" w:rsidRDefault="00314C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314C32" w:rsidRDefault="00314C32">
    <w:pPr>
      <w:pStyle w:val="Footer"/>
    </w:pPr>
  </w:p>
  <w:p w14:paraId="18D3DFFA" w14:textId="77777777" w:rsidR="00314C32" w:rsidRDefault="00314C32"/>
  <w:p w14:paraId="59BFB364" w14:textId="77777777" w:rsidR="00314C32" w:rsidRDefault="00314C3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C0434CA" w:rsidR="00314C32" w:rsidRDefault="00314C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5BFA00B5" w14:textId="77777777" w:rsidR="00314C32" w:rsidRDefault="00314C32">
    <w:pPr>
      <w:pStyle w:val="Footer"/>
    </w:pPr>
  </w:p>
  <w:p w14:paraId="1283C71A" w14:textId="77777777" w:rsidR="00314C32" w:rsidRDefault="00314C32"/>
  <w:p w14:paraId="37DDCC24" w14:textId="77777777" w:rsidR="00314C32" w:rsidRDefault="00314C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6C88" w14:textId="77777777" w:rsidR="00314C32" w:rsidRDefault="00314C32">
      <w:r>
        <w:separator/>
      </w:r>
    </w:p>
    <w:p w14:paraId="15E9687D" w14:textId="77777777" w:rsidR="00314C32" w:rsidRDefault="00314C32"/>
    <w:p w14:paraId="365A3709" w14:textId="77777777" w:rsidR="00314C32" w:rsidRDefault="00314C32"/>
  </w:footnote>
  <w:footnote w:type="continuationSeparator" w:id="0">
    <w:p w14:paraId="5C190FE2" w14:textId="77777777" w:rsidR="00314C32" w:rsidRDefault="00314C32">
      <w:r>
        <w:continuationSeparator/>
      </w:r>
    </w:p>
    <w:p w14:paraId="48834670" w14:textId="77777777" w:rsidR="00314C32" w:rsidRDefault="00314C32"/>
    <w:p w14:paraId="6F3221C2" w14:textId="77777777" w:rsidR="00314C32" w:rsidRDefault="00314C32"/>
  </w:footnote>
  <w:footnote w:type="continuationNotice" w:id="1">
    <w:p w14:paraId="255354B9" w14:textId="77777777" w:rsidR="00314C32" w:rsidRDefault="00314C32"/>
    <w:p w14:paraId="08E614F4" w14:textId="77777777" w:rsidR="00314C32" w:rsidRDefault="00314C32"/>
    <w:p w14:paraId="7DBE7CA6" w14:textId="77777777" w:rsidR="00314C32" w:rsidRDefault="00314C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C07C31"/>
    <w:multiLevelType w:val="hybridMultilevel"/>
    <w:tmpl w:val="518C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D6B4F"/>
    <w:multiLevelType w:val="hybridMultilevel"/>
    <w:tmpl w:val="E304C3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6F41EF"/>
    <w:multiLevelType w:val="multilevel"/>
    <w:tmpl w:val="9686302C"/>
    <w:lvl w:ilvl="0">
      <w:start w:val="1"/>
      <w:numFmt w:val="decimal"/>
      <w:lvlText w:val="%1."/>
      <w:lvlJc w:val="left"/>
      <w:pPr>
        <w:ind w:left="720" w:hanging="360"/>
      </w:pPr>
    </w:lvl>
    <w:lvl w:ilvl="1">
      <w:start w:val="3"/>
      <w:numFmt w:val="decimal"/>
      <w:isLgl/>
      <w:lvlText w:val="%1.%2"/>
      <w:lvlJc w:val="left"/>
      <w:pPr>
        <w:ind w:left="1155" w:hanging="795"/>
      </w:pPr>
      <w:rPr>
        <w:rFonts w:hint="default"/>
      </w:rPr>
    </w:lvl>
    <w:lvl w:ilvl="2">
      <w:start w:val="1"/>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7" w15:restartNumberingAfterBreak="0">
    <w:nsid w:val="29D33492"/>
    <w:multiLevelType w:val="hybridMultilevel"/>
    <w:tmpl w:val="E9B8E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E135538"/>
    <w:multiLevelType w:val="hybridMultilevel"/>
    <w:tmpl w:val="A12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F0552E"/>
    <w:multiLevelType w:val="multilevel"/>
    <w:tmpl w:val="172EC2FC"/>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A65FB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4" w15:restartNumberingAfterBreak="0">
    <w:nsid w:val="3B42076B"/>
    <w:multiLevelType w:val="hybridMultilevel"/>
    <w:tmpl w:val="9EF24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A21A6"/>
    <w:multiLevelType w:val="hybridMultilevel"/>
    <w:tmpl w:val="4E7E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F8C2D03"/>
    <w:multiLevelType w:val="hybridMultilevel"/>
    <w:tmpl w:val="3BAA34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6B7AC8"/>
    <w:multiLevelType w:val="hybridMultilevel"/>
    <w:tmpl w:val="36386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6712E0"/>
    <w:multiLevelType w:val="hybridMultilevel"/>
    <w:tmpl w:val="8CC260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E23"/>
    <w:multiLevelType w:val="hybridMultilevel"/>
    <w:tmpl w:val="4D1C80E8"/>
    <w:lvl w:ilvl="0" w:tplc="670A5ED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9"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0925"/>
    <w:multiLevelType w:val="multilevel"/>
    <w:tmpl w:val="DF8C9E80"/>
    <w:lvl w:ilvl="0">
      <w:start w:val="3"/>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7"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4B4363"/>
    <w:multiLevelType w:val="hybridMultilevel"/>
    <w:tmpl w:val="F61AF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7567308B"/>
    <w:multiLevelType w:val="hybridMultilevel"/>
    <w:tmpl w:val="3774BC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1398B"/>
    <w:multiLevelType w:val="hybridMultilevel"/>
    <w:tmpl w:val="882A448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4"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2"/>
  </w:num>
  <w:num w:numId="2">
    <w:abstractNumId w:val="8"/>
  </w:num>
  <w:num w:numId="3">
    <w:abstractNumId w:val="26"/>
  </w:num>
  <w:num w:numId="4">
    <w:abstractNumId w:val="41"/>
  </w:num>
  <w:num w:numId="5">
    <w:abstractNumId w:val="43"/>
  </w:num>
  <w:num w:numId="6">
    <w:abstractNumId w:val="1"/>
  </w:num>
  <w:num w:numId="7">
    <w:abstractNumId w:val="44"/>
  </w:num>
  <w:num w:numId="8">
    <w:abstractNumId w:val="36"/>
  </w:num>
  <w:num w:numId="9">
    <w:abstractNumId w:val="31"/>
  </w:num>
  <w:num w:numId="10">
    <w:abstractNumId w:val="33"/>
  </w:num>
  <w:num w:numId="11">
    <w:abstractNumId w:val="25"/>
  </w:num>
  <w:num w:numId="12">
    <w:abstractNumId w:val="23"/>
  </w:num>
  <w:num w:numId="13">
    <w:abstractNumId w:val="0"/>
  </w:num>
  <w:num w:numId="14">
    <w:abstractNumId w:val="11"/>
  </w:num>
  <w:num w:numId="15">
    <w:abstractNumId w:val="10"/>
  </w:num>
  <w:num w:numId="16">
    <w:abstractNumId w:val="39"/>
  </w:num>
  <w:num w:numId="17">
    <w:abstractNumId w:val="21"/>
  </w:num>
  <w:num w:numId="18">
    <w:abstractNumId w:val="7"/>
  </w:num>
  <w:num w:numId="19">
    <w:abstractNumId w:val="27"/>
  </w:num>
  <w:num w:numId="20">
    <w:abstractNumId w:val="28"/>
  </w:num>
  <w:num w:numId="21">
    <w:abstractNumId w:val="13"/>
  </w:num>
  <w:num w:numId="22">
    <w:abstractNumId w:val="3"/>
  </w:num>
  <w:num w:numId="23">
    <w:abstractNumId w:val="14"/>
  </w:num>
  <w:num w:numId="24">
    <w:abstractNumId w:val="6"/>
  </w:num>
  <w:num w:numId="25">
    <w:abstractNumId w:val="30"/>
  </w:num>
  <w:num w:numId="26">
    <w:abstractNumId w:val="5"/>
  </w:num>
  <w:num w:numId="27">
    <w:abstractNumId w:val="19"/>
  </w:num>
  <w:num w:numId="28">
    <w:abstractNumId w:val="22"/>
  </w:num>
  <w:num w:numId="29">
    <w:abstractNumId w:val="40"/>
  </w:num>
  <w:num w:numId="30">
    <w:abstractNumId w:val="15"/>
  </w:num>
  <w:num w:numId="31">
    <w:abstractNumId w:val="35"/>
  </w:num>
  <w:num w:numId="32">
    <w:abstractNumId w:val="16"/>
  </w:num>
  <w:num w:numId="33">
    <w:abstractNumId w:val="42"/>
  </w:num>
  <w:num w:numId="34">
    <w:abstractNumId w:val="29"/>
  </w:num>
  <w:num w:numId="35">
    <w:abstractNumId w:val="24"/>
  </w:num>
  <w:num w:numId="36">
    <w:abstractNumId w:val="20"/>
  </w:num>
  <w:num w:numId="37">
    <w:abstractNumId w:val="9"/>
  </w:num>
  <w:num w:numId="38">
    <w:abstractNumId w:val="32"/>
  </w:num>
  <w:num w:numId="39">
    <w:abstractNumId w:val="37"/>
  </w:num>
  <w:num w:numId="40">
    <w:abstractNumId w:val="34"/>
  </w:num>
  <w:num w:numId="41">
    <w:abstractNumId w:val="38"/>
  </w:num>
  <w:num w:numId="42">
    <w:abstractNumId w:val="17"/>
  </w:num>
  <w:num w:numId="43">
    <w:abstractNumId w:val="18"/>
  </w:num>
  <w:num w:numId="44">
    <w:abstractNumId w:val="2"/>
  </w:num>
  <w:num w:numId="4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4CF"/>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23B"/>
    <w:rsid w:val="00023A1A"/>
    <w:rsid w:val="00023A89"/>
    <w:rsid w:val="00023BE1"/>
    <w:rsid w:val="00023DE1"/>
    <w:rsid w:val="0002413F"/>
    <w:rsid w:val="000242CB"/>
    <w:rsid w:val="000249C9"/>
    <w:rsid w:val="00024A77"/>
    <w:rsid w:val="00024CFA"/>
    <w:rsid w:val="00025124"/>
    <w:rsid w:val="00025449"/>
    <w:rsid w:val="0002594D"/>
    <w:rsid w:val="00026061"/>
    <w:rsid w:val="000260CD"/>
    <w:rsid w:val="00026737"/>
    <w:rsid w:val="00026D91"/>
    <w:rsid w:val="00026E01"/>
    <w:rsid w:val="00027748"/>
    <w:rsid w:val="000279D5"/>
    <w:rsid w:val="00027C38"/>
    <w:rsid w:val="00027E9E"/>
    <w:rsid w:val="00027EBD"/>
    <w:rsid w:val="000300BE"/>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0C9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45"/>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2F7"/>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56"/>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87F"/>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428"/>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77D"/>
    <w:rsid w:val="000A58BF"/>
    <w:rsid w:val="000A5933"/>
    <w:rsid w:val="000A5A66"/>
    <w:rsid w:val="000A5DC7"/>
    <w:rsid w:val="000A6106"/>
    <w:rsid w:val="000A62EA"/>
    <w:rsid w:val="000A6F35"/>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BA8"/>
    <w:rsid w:val="000E2533"/>
    <w:rsid w:val="000E25D0"/>
    <w:rsid w:val="000E2915"/>
    <w:rsid w:val="000E2F7C"/>
    <w:rsid w:val="000E311E"/>
    <w:rsid w:val="000E328F"/>
    <w:rsid w:val="000E3358"/>
    <w:rsid w:val="000E3990"/>
    <w:rsid w:val="000E3C9D"/>
    <w:rsid w:val="000E416C"/>
    <w:rsid w:val="000E4225"/>
    <w:rsid w:val="000E4FA9"/>
    <w:rsid w:val="000E516B"/>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E65"/>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5B"/>
    <w:rsid w:val="00106891"/>
    <w:rsid w:val="001068D9"/>
    <w:rsid w:val="0010698B"/>
    <w:rsid w:val="00106BB5"/>
    <w:rsid w:val="00106DA6"/>
    <w:rsid w:val="00107188"/>
    <w:rsid w:val="00107235"/>
    <w:rsid w:val="0010723C"/>
    <w:rsid w:val="001072F0"/>
    <w:rsid w:val="001073B9"/>
    <w:rsid w:val="001074BF"/>
    <w:rsid w:val="00107666"/>
    <w:rsid w:val="00107E3F"/>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6F6E"/>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B21"/>
    <w:rsid w:val="00153E84"/>
    <w:rsid w:val="0015407C"/>
    <w:rsid w:val="001549FA"/>
    <w:rsid w:val="00154A2C"/>
    <w:rsid w:val="0015509A"/>
    <w:rsid w:val="0015524F"/>
    <w:rsid w:val="0015541E"/>
    <w:rsid w:val="001556B0"/>
    <w:rsid w:val="001557DC"/>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A71"/>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2B7B"/>
    <w:rsid w:val="001D3007"/>
    <w:rsid w:val="001D3734"/>
    <w:rsid w:val="001D3BE2"/>
    <w:rsid w:val="001D3F0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C1E"/>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6FA"/>
    <w:rsid w:val="002238AB"/>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322"/>
    <w:rsid w:val="00230720"/>
    <w:rsid w:val="00230850"/>
    <w:rsid w:val="00230F24"/>
    <w:rsid w:val="00230FBF"/>
    <w:rsid w:val="00231245"/>
    <w:rsid w:val="002313F4"/>
    <w:rsid w:val="00231518"/>
    <w:rsid w:val="0023174C"/>
    <w:rsid w:val="00231D8B"/>
    <w:rsid w:val="00231D94"/>
    <w:rsid w:val="00231E8A"/>
    <w:rsid w:val="00231ECB"/>
    <w:rsid w:val="002324F5"/>
    <w:rsid w:val="0023263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D3B"/>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C6"/>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5"/>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50B"/>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7E8"/>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C32"/>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9E4"/>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4B48"/>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0EB"/>
    <w:rsid w:val="00352550"/>
    <w:rsid w:val="003528C6"/>
    <w:rsid w:val="00352C8A"/>
    <w:rsid w:val="00352D97"/>
    <w:rsid w:val="00352F9F"/>
    <w:rsid w:val="00353190"/>
    <w:rsid w:val="0035343D"/>
    <w:rsid w:val="00353B85"/>
    <w:rsid w:val="00354235"/>
    <w:rsid w:val="00354515"/>
    <w:rsid w:val="00354C2F"/>
    <w:rsid w:val="00354D7F"/>
    <w:rsid w:val="00354EA4"/>
    <w:rsid w:val="0035515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2FE"/>
    <w:rsid w:val="00361339"/>
    <w:rsid w:val="003613CB"/>
    <w:rsid w:val="003613DF"/>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25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7F1"/>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4E18"/>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0DA8"/>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20C"/>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920"/>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9F"/>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2DC"/>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4F6F"/>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829"/>
    <w:rsid w:val="00417A61"/>
    <w:rsid w:val="00417AD7"/>
    <w:rsid w:val="00417DD4"/>
    <w:rsid w:val="00420012"/>
    <w:rsid w:val="00420165"/>
    <w:rsid w:val="00420269"/>
    <w:rsid w:val="0042083E"/>
    <w:rsid w:val="004210C3"/>
    <w:rsid w:val="00421497"/>
    <w:rsid w:val="0042161D"/>
    <w:rsid w:val="00422219"/>
    <w:rsid w:val="00423262"/>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78A"/>
    <w:rsid w:val="00461CBA"/>
    <w:rsid w:val="00461D8A"/>
    <w:rsid w:val="004620A8"/>
    <w:rsid w:val="00462BC1"/>
    <w:rsid w:val="004633AA"/>
    <w:rsid w:val="0046364B"/>
    <w:rsid w:val="0046380C"/>
    <w:rsid w:val="00463ACE"/>
    <w:rsid w:val="00463D1B"/>
    <w:rsid w:val="00463DC7"/>
    <w:rsid w:val="00464483"/>
    <w:rsid w:val="004644A4"/>
    <w:rsid w:val="00464563"/>
    <w:rsid w:val="00464A8F"/>
    <w:rsid w:val="0046596E"/>
    <w:rsid w:val="00465BDF"/>
    <w:rsid w:val="00465DF8"/>
    <w:rsid w:val="00465E2F"/>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75C"/>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0CED"/>
    <w:rsid w:val="00491F8E"/>
    <w:rsid w:val="004923ED"/>
    <w:rsid w:val="004925CC"/>
    <w:rsid w:val="004927FF"/>
    <w:rsid w:val="00493281"/>
    <w:rsid w:val="004934F6"/>
    <w:rsid w:val="004936F8"/>
    <w:rsid w:val="00493C07"/>
    <w:rsid w:val="00493E26"/>
    <w:rsid w:val="00494775"/>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1BD"/>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22B"/>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A5"/>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0EF"/>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2B1"/>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B1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5A4"/>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9F7"/>
    <w:rsid w:val="004F1B9A"/>
    <w:rsid w:val="004F1CE6"/>
    <w:rsid w:val="004F1D1C"/>
    <w:rsid w:val="004F1DCE"/>
    <w:rsid w:val="004F1EB3"/>
    <w:rsid w:val="004F211D"/>
    <w:rsid w:val="004F219F"/>
    <w:rsid w:val="004F2767"/>
    <w:rsid w:val="004F287B"/>
    <w:rsid w:val="004F3582"/>
    <w:rsid w:val="004F391C"/>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CD4"/>
    <w:rsid w:val="00507E1E"/>
    <w:rsid w:val="005102C3"/>
    <w:rsid w:val="0051033C"/>
    <w:rsid w:val="005106F3"/>
    <w:rsid w:val="005107DF"/>
    <w:rsid w:val="00510901"/>
    <w:rsid w:val="00510E42"/>
    <w:rsid w:val="00511095"/>
    <w:rsid w:val="0051120D"/>
    <w:rsid w:val="00511F56"/>
    <w:rsid w:val="00512157"/>
    <w:rsid w:val="00512730"/>
    <w:rsid w:val="00512C1E"/>
    <w:rsid w:val="00512C55"/>
    <w:rsid w:val="00513099"/>
    <w:rsid w:val="00513264"/>
    <w:rsid w:val="00513764"/>
    <w:rsid w:val="0051433F"/>
    <w:rsid w:val="0051498E"/>
    <w:rsid w:val="00514C72"/>
    <w:rsid w:val="00514E31"/>
    <w:rsid w:val="00515374"/>
    <w:rsid w:val="005154F0"/>
    <w:rsid w:val="0051580E"/>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BEB"/>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807"/>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02"/>
    <w:rsid w:val="00533D74"/>
    <w:rsid w:val="0053408A"/>
    <w:rsid w:val="0053435A"/>
    <w:rsid w:val="00534513"/>
    <w:rsid w:val="00534593"/>
    <w:rsid w:val="005349C5"/>
    <w:rsid w:val="00534D6C"/>
    <w:rsid w:val="00534DE7"/>
    <w:rsid w:val="00534F7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0C"/>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09C"/>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3F"/>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789"/>
    <w:rsid w:val="00590A91"/>
    <w:rsid w:val="00590F5D"/>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582"/>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39FE"/>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3A00"/>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851"/>
    <w:rsid w:val="005F7E08"/>
    <w:rsid w:val="006000F2"/>
    <w:rsid w:val="006003A7"/>
    <w:rsid w:val="00600547"/>
    <w:rsid w:val="00600D9C"/>
    <w:rsid w:val="00601374"/>
    <w:rsid w:val="006013EE"/>
    <w:rsid w:val="006015FB"/>
    <w:rsid w:val="0060161F"/>
    <w:rsid w:val="006018C2"/>
    <w:rsid w:val="00602081"/>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AA"/>
    <w:rsid w:val="00617BF8"/>
    <w:rsid w:val="00617F47"/>
    <w:rsid w:val="00617FDC"/>
    <w:rsid w:val="00620427"/>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1ED"/>
    <w:rsid w:val="00636741"/>
    <w:rsid w:val="00636A4D"/>
    <w:rsid w:val="00636F62"/>
    <w:rsid w:val="00637384"/>
    <w:rsid w:val="0063758B"/>
    <w:rsid w:val="006378E6"/>
    <w:rsid w:val="00637B8A"/>
    <w:rsid w:val="00637FCC"/>
    <w:rsid w:val="00640042"/>
    <w:rsid w:val="00640619"/>
    <w:rsid w:val="006408C1"/>
    <w:rsid w:val="00640CE8"/>
    <w:rsid w:val="00640DB2"/>
    <w:rsid w:val="00640F5E"/>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45B"/>
    <w:rsid w:val="00651841"/>
    <w:rsid w:val="00651972"/>
    <w:rsid w:val="00651CA0"/>
    <w:rsid w:val="00651F91"/>
    <w:rsid w:val="006520F9"/>
    <w:rsid w:val="00652152"/>
    <w:rsid w:val="0065253E"/>
    <w:rsid w:val="00652B56"/>
    <w:rsid w:val="00652EEE"/>
    <w:rsid w:val="00653090"/>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2B2"/>
    <w:rsid w:val="00667565"/>
    <w:rsid w:val="006678DB"/>
    <w:rsid w:val="00667C58"/>
    <w:rsid w:val="00667DC8"/>
    <w:rsid w:val="00670123"/>
    <w:rsid w:val="00670B86"/>
    <w:rsid w:val="00671235"/>
    <w:rsid w:val="006713E6"/>
    <w:rsid w:val="006714BE"/>
    <w:rsid w:val="0067189F"/>
    <w:rsid w:val="00671B34"/>
    <w:rsid w:val="006727F5"/>
    <w:rsid w:val="00672A2B"/>
    <w:rsid w:val="006733C7"/>
    <w:rsid w:val="006737B1"/>
    <w:rsid w:val="00673EE6"/>
    <w:rsid w:val="0067415F"/>
    <w:rsid w:val="0067429D"/>
    <w:rsid w:val="00674737"/>
    <w:rsid w:val="00674A09"/>
    <w:rsid w:val="00674EE0"/>
    <w:rsid w:val="0067547A"/>
    <w:rsid w:val="006757A4"/>
    <w:rsid w:val="0067589B"/>
    <w:rsid w:val="0067605E"/>
    <w:rsid w:val="00676AB6"/>
    <w:rsid w:val="00676EB1"/>
    <w:rsid w:val="00677107"/>
    <w:rsid w:val="0067736E"/>
    <w:rsid w:val="006773CC"/>
    <w:rsid w:val="0067795A"/>
    <w:rsid w:val="0067797C"/>
    <w:rsid w:val="00680018"/>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25F"/>
    <w:rsid w:val="006923AD"/>
    <w:rsid w:val="006923C5"/>
    <w:rsid w:val="006924D3"/>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16F"/>
    <w:rsid w:val="006B438F"/>
    <w:rsid w:val="006B447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2E"/>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6EBE"/>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AE"/>
    <w:rsid w:val="006E35A3"/>
    <w:rsid w:val="006E365A"/>
    <w:rsid w:val="006E3B0F"/>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278"/>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4D0F"/>
    <w:rsid w:val="00705DC1"/>
    <w:rsid w:val="0070616B"/>
    <w:rsid w:val="007064DF"/>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73"/>
    <w:rsid w:val="007264DE"/>
    <w:rsid w:val="00726917"/>
    <w:rsid w:val="0072698F"/>
    <w:rsid w:val="007269A0"/>
    <w:rsid w:val="00726B56"/>
    <w:rsid w:val="00726DDF"/>
    <w:rsid w:val="00726E33"/>
    <w:rsid w:val="007272EA"/>
    <w:rsid w:val="007278BE"/>
    <w:rsid w:val="00727A74"/>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5DC1"/>
    <w:rsid w:val="0073619D"/>
    <w:rsid w:val="00736245"/>
    <w:rsid w:val="007368BA"/>
    <w:rsid w:val="00737346"/>
    <w:rsid w:val="00737AD9"/>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8EF"/>
    <w:rsid w:val="00746C34"/>
    <w:rsid w:val="00746CB9"/>
    <w:rsid w:val="00746DBB"/>
    <w:rsid w:val="00746F85"/>
    <w:rsid w:val="00747488"/>
    <w:rsid w:val="00747947"/>
    <w:rsid w:val="00747AD3"/>
    <w:rsid w:val="00747B2E"/>
    <w:rsid w:val="00747EF6"/>
    <w:rsid w:val="00750390"/>
    <w:rsid w:val="00750A38"/>
    <w:rsid w:val="00750EC1"/>
    <w:rsid w:val="0075101C"/>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959"/>
    <w:rsid w:val="00767CCF"/>
    <w:rsid w:val="007702FB"/>
    <w:rsid w:val="007703BB"/>
    <w:rsid w:val="00770454"/>
    <w:rsid w:val="00770545"/>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37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2C7"/>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5E8"/>
    <w:rsid w:val="007A6932"/>
    <w:rsid w:val="007A6C56"/>
    <w:rsid w:val="007A6F4B"/>
    <w:rsid w:val="007A7961"/>
    <w:rsid w:val="007A7BB0"/>
    <w:rsid w:val="007A7C51"/>
    <w:rsid w:val="007A7C77"/>
    <w:rsid w:val="007A7F21"/>
    <w:rsid w:val="007A7FC6"/>
    <w:rsid w:val="007B002F"/>
    <w:rsid w:val="007B0089"/>
    <w:rsid w:val="007B013B"/>
    <w:rsid w:val="007B03EE"/>
    <w:rsid w:val="007B0758"/>
    <w:rsid w:val="007B0B13"/>
    <w:rsid w:val="007B0C5F"/>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0DE"/>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1A"/>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A98"/>
    <w:rsid w:val="00801D96"/>
    <w:rsid w:val="0080208F"/>
    <w:rsid w:val="008020CC"/>
    <w:rsid w:val="008031B0"/>
    <w:rsid w:val="00803387"/>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5BD"/>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4CF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E76"/>
    <w:rsid w:val="00830F84"/>
    <w:rsid w:val="00831319"/>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2"/>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0A21"/>
    <w:rsid w:val="008613F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1CD"/>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8FE"/>
    <w:rsid w:val="00870A7F"/>
    <w:rsid w:val="00870BD6"/>
    <w:rsid w:val="008712EC"/>
    <w:rsid w:val="0087154C"/>
    <w:rsid w:val="00871673"/>
    <w:rsid w:val="00871D0F"/>
    <w:rsid w:val="008725FD"/>
    <w:rsid w:val="0087291E"/>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D6D"/>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2D9"/>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119"/>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3F05"/>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6C"/>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5FB1"/>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82D"/>
    <w:rsid w:val="00934D31"/>
    <w:rsid w:val="00934D69"/>
    <w:rsid w:val="00934D6A"/>
    <w:rsid w:val="009354D8"/>
    <w:rsid w:val="00935696"/>
    <w:rsid w:val="0093582E"/>
    <w:rsid w:val="0093587A"/>
    <w:rsid w:val="00935FAB"/>
    <w:rsid w:val="009364A8"/>
    <w:rsid w:val="009367C3"/>
    <w:rsid w:val="0093690D"/>
    <w:rsid w:val="00936958"/>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8D3"/>
    <w:rsid w:val="00945B6B"/>
    <w:rsid w:val="00945F49"/>
    <w:rsid w:val="00946209"/>
    <w:rsid w:val="0094658B"/>
    <w:rsid w:val="00946F74"/>
    <w:rsid w:val="0094701C"/>
    <w:rsid w:val="00947135"/>
    <w:rsid w:val="009471A0"/>
    <w:rsid w:val="00947230"/>
    <w:rsid w:val="009472CA"/>
    <w:rsid w:val="00947A02"/>
    <w:rsid w:val="00947B6C"/>
    <w:rsid w:val="00951292"/>
    <w:rsid w:val="009518D6"/>
    <w:rsid w:val="00951D39"/>
    <w:rsid w:val="00951FA8"/>
    <w:rsid w:val="009520CF"/>
    <w:rsid w:val="00952379"/>
    <w:rsid w:val="0095244A"/>
    <w:rsid w:val="00952559"/>
    <w:rsid w:val="0095268F"/>
    <w:rsid w:val="0095302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C58"/>
    <w:rsid w:val="00977053"/>
    <w:rsid w:val="0097707C"/>
    <w:rsid w:val="0097750F"/>
    <w:rsid w:val="00977EAA"/>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A2A"/>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77A"/>
    <w:rsid w:val="00996A3E"/>
    <w:rsid w:val="00996BD7"/>
    <w:rsid w:val="00996C19"/>
    <w:rsid w:val="00996CF5"/>
    <w:rsid w:val="00997144"/>
    <w:rsid w:val="00997BB6"/>
    <w:rsid w:val="00997D19"/>
    <w:rsid w:val="00997D8A"/>
    <w:rsid w:val="00997FB1"/>
    <w:rsid w:val="009A0192"/>
    <w:rsid w:val="009A044C"/>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AEE"/>
    <w:rsid w:val="009D0D1C"/>
    <w:rsid w:val="009D0D38"/>
    <w:rsid w:val="009D0E53"/>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4E3"/>
    <w:rsid w:val="009F7511"/>
    <w:rsid w:val="009F773D"/>
    <w:rsid w:val="009F7745"/>
    <w:rsid w:val="009F7746"/>
    <w:rsid w:val="009F7EA5"/>
    <w:rsid w:val="00A000BF"/>
    <w:rsid w:val="00A0011A"/>
    <w:rsid w:val="00A00346"/>
    <w:rsid w:val="00A00657"/>
    <w:rsid w:val="00A008D6"/>
    <w:rsid w:val="00A00F2A"/>
    <w:rsid w:val="00A0107A"/>
    <w:rsid w:val="00A014B3"/>
    <w:rsid w:val="00A01600"/>
    <w:rsid w:val="00A01671"/>
    <w:rsid w:val="00A0191B"/>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B4"/>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30"/>
    <w:rsid w:val="00A32931"/>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9E"/>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2FDC"/>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125"/>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813"/>
    <w:rsid w:val="00A90B28"/>
    <w:rsid w:val="00A90BCC"/>
    <w:rsid w:val="00A90E8F"/>
    <w:rsid w:val="00A90E93"/>
    <w:rsid w:val="00A91018"/>
    <w:rsid w:val="00A915DA"/>
    <w:rsid w:val="00A91776"/>
    <w:rsid w:val="00A9188B"/>
    <w:rsid w:val="00A91DD6"/>
    <w:rsid w:val="00A921A5"/>
    <w:rsid w:val="00A93170"/>
    <w:rsid w:val="00A934AA"/>
    <w:rsid w:val="00A939F6"/>
    <w:rsid w:val="00A93ACF"/>
    <w:rsid w:val="00A94046"/>
    <w:rsid w:val="00A9405D"/>
    <w:rsid w:val="00A940E2"/>
    <w:rsid w:val="00A94AE5"/>
    <w:rsid w:val="00A94ED0"/>
    <w:rsid w:val="00A94EDB"/>
    <w:rsid w:val="00A9519D"/>
    <w:rsid w:val="00A957B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11C"/>
    <w:rsid w:val="00AC056F"/>
    <w:rsid w:val="00AC0754"/>
    <w:rsid w:val="00AC07BD"/>
    <w:rsid w:val="00AC0D28"/>
    <w:rsid w:val="00AC0E90"/>
    <w:rsid w:val="00AC134C"/>
    <w:rsid w:val="00AC176B"/>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8D4"/>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CF"/>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8DF"/>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C8D"/>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132"/>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291"/>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423"/>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8A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97E"/>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20"/>
    <w:rsid w:val="00BB64E7"/>
    <w:rsid w:val="00BB6528"/>
    <w:rsid w:val="00BB6C1B"/>
    <w:rsid w:val="00BB744C"/>
    <w:rsid w:val="00BB78BA"/>
    <w:rsid w:val="00BB7BCE"/>
    <w:rsid w:val="00BC0723"/>
    <w:rsid w:val="00BC098D"/>
    <w:rsid w:val="00BC0BC3"/>
    <w:rsid w:val="00BC0D75"/>
    <w:rsid w:val="00BC105F"/>
    <w:rsid w:val="00BC1174"/>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2A9"/>
    <w:rsid w:val="00BD1565"/>
    <w:rsid w:val="00BD1C0B"/>
    <w:rsid w:val="00BD1D5C"/>
    <w:rsid w:val="00BD20AA"/>
    <w:rsid w:val="00BD2505"/>
    <w:rsid w:val="00BD2557"/>
    <w:rsid w:val="00BD2764"/>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1E9"/>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2FE"/>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996"/>
    <w:rsid w:val="00C21BA4"/>
    <w:rsid w:val="00C21C63"/>
    <w:rsid w:val="00C21ED8"/>
    <w:rsid w:val="00C220B8"/>
    <w:rsid w:val="00C2213D"/>
    <w:rsid w:val="00C221EC"/>
    <w:rsid w:val="00C22467"/>
    <w:rsid w:val="00C227A9"/>
    <w:rsid w:val="00C227CB"/>
    <w:rsid w:val="00C22F0D"/>
    <w:rsid w:val="00C23470"/>
    <w:rsid w:val="00C23944"/>
    <w:rsid w:val="00C23B8E"/>
    <w:rsid w:val="00C23CF8"/>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A95"/>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DE"/>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420"/>
    <w:rsid w:val="00C75C1D"/>
    <w:rsid w:val="00C75C9E"/>
    <w:rsid w:val="00C76571"/>
    <w:rsid w:val="00C769F5"/>
    <w:rsid w:val="00C76BF8"/>
    <w:rsid w:val="00C76C6C"/>
    <w:rsid w:val="00C771BE"/>
    <w:rsid w:val="00C77E97"/>
    <w:rsid w:val="00C77ED0"/>
    <w:rsid w:val="00C80074"/>
    <w:rsid w:val="00C80155"/>
    <w:rsid w:val="00C80612"/>
    <w:rsid w:val="00C80852"/>
    <w:rsid w:val="00C809ED"/>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8EC"/>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AFB"/>
    <w:rsid w:val="00CB7E82"/>
    <w:rsid w:val="00CC065C"/>
    <w:rsid w:val="00CC16D9"/>
    <w:rsid w:val="00CC1A5A"/>
    <w:rsid w:val="00CC1C3B"/>
    <w:rsid w:val="00CC1DE7"/>
    <w:rsid w:val="00CC1F25"/>
    <w:rsid w:val="00CC278C"/>
    <w:rsid w:val="00CC286A"/>
    <w:rsid w:val="00CC2CFB"/>
    <w:rsid w:val="00CC2FBD"/>
    <w:rsid w:val="00CC3D96"/>
    <w:rsid w:val="00CC3E55"/>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2A85"/>
    <w:rsid w:val="00CD3178"/>
    <w:rsid w:val="00CD321E"/>
    <w:rsid w:val="00CD3519"/>
    <w:rsid w:val="00CD3AAF"/>
    <w:rsid w:val="00CD41F7"/>
    <w:rsid w:val="00CD4758"/>
    <w:rsid w:val="00CD4A06"/>
    <w:rsid w:val="00CD4D1D"/>
    <w:rsid w:val="00CD4E99"/>
    <w:rsid w:val="00CD553D"/>
    <w:rsid w:val="00CD5A75"/>
    <w:rsid w:val="00CD6C4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96E"/>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366"/>
    <w:rsid w:val="00D206FA"/>
    <w:rsid w:val="00D207E8"/>
    <w:rsid w:val="00D211FC"/>
    <w:rsid w:val="00D21A33"/>
    <w:rsid w:val="00D21BF3"/>
    <w:rsid w:val="00D21C9F"/>
    <w:rsid w:val="00D220E4"/>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8E"/>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32E"/>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6C27"/>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3F7E"/>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190A"/>
    <w:rsid w:val="00D7204B"/>
    <w:rsid w:val="00D722E2"/>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0CB"/>
    <w:rsid w:val="00D8012C"/>
    <w:rsid w:val="00D802D3"/>
    <w:rsid w:val="00D804E7"/>
    <w:rsid w:val="00D80E5E"/>
    <w:rsid w:val="00D81153"/>
    <w:rsid w:val="00D81251"/>
    <w:rsid w:val="00D81495"/>
    <w:rsid w:val="00D81592"/>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1"/>
    <w:rsid w:val="00D97918"/>
    <w:rsid w:val="00D97A37"/>
    <w:rsid w:val="00D97ACE"/>
    <w:rsid w:val="00D97BFC"/>
    <w:rsid w:val="00D97F9E"/>
    <w:rsid w:val="00DA0398"/>
    <w:rsid w:val="00DA0437"/>
    <w:rsid w:val="00DA101B"/>
    <w:rsid w:val="00DA121A"/>
    <w:rsid w:val="00DA1350"/>
    <w:rsid w:val="00DA1C89"/>
    <w:rsid w:val="00DA2065"/>
    <w:rsid w:val="00DA2120"/>
    <w:rsid w:val="00DA2585"/>
    <w:rsid w:val="00DA2AF4"/>
    <w:rsid w:val="00DA315F"/>
    <w:rsid w:val="00DA31E4"/>
    <w:rsid w:val="00DA35C5"/>
    <w:rsid w:val="00DA36D5"/>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B8B"/>
    <w:rsid w:val="00DB6CC0"/>
    <w:rsid w:val="00DB6DC6"/>
    <w:rsid w:val="00DB71BA"/>
    <w:rsid w:val="00DB7573"/>
    <w:rsid w:val="00DB7965"/>
    <w:rsid w:val="00DB7DFB"/>
    <w:rsid w:val="00DC0444"/>
    <w:rsid w:val="00DC0650"/>
    <w:rsid w:val="00DC092B"/>
    <w:rsid w:val="00DC0D2C"/>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20"/>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59"/>
    <w:rsid w:val="00E02EA2"/>
    <w:rsid w:val="00E0320A"/>
    <w:rsid w:val="00E033B8"/>
    <w:rsid w:val="00E0378E"/>
    <w:rsid w:val="00E03C00"/>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1B"/>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842"/>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734"/>
    <w:rsid w:val="00E628ED"/>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2C"/>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1F7"/>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4DA0"/>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3FE"/>
    <w:rsid w:val="00EE597F"/>
    <w:rsid w:val="00EE5A20"/>
    <w:rsid w:val="00EE5A29"/>
    <w:rsid w:val="00EE5E27"/>
    <w:rsid w:val="00EE6112"/>
    <w:rsid w:val="00EE61AF"/>
    <w:rsid w:val="00EE6B26"/>
    <w:rsid w:val="00EE7405"/>
    <w:rsid w:val="00EE7509"/>
    <w:rsid w:val="00EE7AAF"/>
    <w:rsid w:val="00EE7E08"/>
    <w:rsid w:val="00EF0260"/>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A"/>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4A9C"/>
    <w:rsid w:val="00F052FE"/>
    <w:rsid w:val="00F05D8B"/>
    <w:rsid w:val="00F05FC5"/>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987"/>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5B7"/>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B2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C27"/>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B0"/>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C0C"/>
    <w:rsid w:val="00FA0E8B"/>
    <w:rsid w:val="00FA144D"/>
    <w:rsid w:val="00FA17F5"/>
    <w:rsid w:val="00FA180E"/>
    <w:rsid w:val="00FA1B18"/>
    <w:rsid w:val="00FA1BD6"/>
    <w:rsid w:val="00FA1CA1"/>
    <w:rsid w:val="00FA24D9"/>
    <w:rsid w:val="00FA2B01"/>
    <w:rsid w:val="00FA2BA9"/>
    <w:rsid w:val="00FA2D11"/>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00A"/>
    <w:rsid w:val="00FB2756"/>
    <w:rsid w:val="00FB27D8"/>
    <w:rsid w:val="00FB2AD7"/>
    <w:rsid w:val="00FB302E"/>
    <w:rsid w:val="00FB3409"/>
    <w:rsid w:val="00FB358E"/>
    <w:rsid w:val="00FB37AC"/>
    <w:rsid w:val="00FB3AF8"/>
    <w:rsid w:val="00FB3B6C"/>
    <w:rsid w:val="00FB3FC8"/>
    <w:rsid w:val="00FB4223"/>
    <w:rsid w:val="00FB43ED"/>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92"/>
    <w:rsid w:val="00FC74F8"/>
    <w:rsid w:val="00FC7632"/>
    <w:rsid w:val="00FC7A26"/>
    <w:rsid w:val="00FC7B1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35A"/>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0D0"/>
    <w:rsid w:val="00FE7ACC"/>
    <w:rsid w:val="00FE7E0B"/>
    <w:rsid w:val="00FF05D7"/>
    <w:rsid w:val="00FF0968"/>
    <w:rsid w:val="00FF0A27"/>
    <w:rsid w:val="00FF0DA1"/>
    <w:rsid w:val="00FF113C"/>
    <w:rsid w:val="00FF1146"/>
    <w:rsid w:val="00FF12AD"/>
    <w:rsid w:val="00FF14DB"/>
    <w:rsid w:val="00FF18DC"/>
    <w:rsid w:val="00FF1B55"/>
    <w:rsid w:val="00FF1ED8"/>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11B"/>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har"/>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中等深浅网格 1 - 着色 21"/>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中等深浅网格 1 - 着色 21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body">
    <w:name w:val="body"/>
    <w:basedOn w:val="LGTdoc1"/>
    <w:link w:val="bodyChar"/>
    <w:qFormat/>
    <w:rsid w:val="00174A71"/>
    <w:pPr>
      <w:spacing w:beforeLines="0" w:before="120" w:after="220" w:afterAutospacing="0"/>
    </w:pPr>
    <w:rPr>
      <w:b w:val="0"/>
      <w:sz w:val="20"/>
    </w:rPr>
  </w:style>
  <w:style w:type="character" w:customStyle="1" w:styleId="LGTdoc1Char">
    <w:name w:val="LGTdoc_제목1 Char"/>
    <w:basedOn w:val="DefaultParagraphFont"/>
    <w:link w:val="LGTdoc1"/>
    <w:rsid w:val="00174A71"/>
    <w:rPr>
      <w:b/>
      <w:snapToGrid w:val="0"/>
      <w:sz w:val="28"/>
      <w:lang w:val="en-GB" w:eastAsia="ko-KR"/>
    </w:rPr>
  </w:style>
  <w:style w:type="character" w:customStyle="1" w:styleId="bodyChar">
    <w:name w:val="body Char"/>
    <w:basedOn w:val="LGTdoc1Char"/>
    <w:link w:val="body"/>
    <w:rsid w:val="00174A71"/>
    <w:rPr>
      <w:b w:val="0"/>
      <w:snapToGrid w:val="0"/>
      <w:sz w:val="28"/>
      <w:lang w:val="en-GB" w:eastAsia="ko-KR"/>
    </w:rPr>
  </w:style>
  <w:style w:type="table" w:styleId="TableGridLight">
    <w:name w:val="Grid Table Light"/>
    <w:basedOn w:val="TableNormal"/>
    <w:uiPriority w:val="40"/>
    <w:rsid w:val="00126F6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HCar">
    <w:name w:val="TAH Car"/>
    <w:link w:val="TAH"/>
    <w:qFormat/>
    <w:rsid w:val="00DA36D5"/>
    <w:rPr>
      <w:rFonts w:ascii="Arial" w:eastAsia="MS Mincho" w:hAnsi="Arial"/>
      <w:b/>
      <w:sz w:val="18"/>
      <w:lang w:val="en-GB"/>
    </w:rPr>
  </w:style>
  <w:style w:type="character" w:customStyle="1" w:styleId="TALChar">
    <w:name w:val="TAL Char"/>
    <w:link w:val="TAL"/>
    <w:qFormat/>
    <w:locked/>
    <w:rsid w:val="00DA36D5"/>
    <w:rPr>
      <w:rFonts w:ascii="Arial" w:eastAsia="MS Mincho"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69902600">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5065831">
      <w:bodyDiv w:val="1"/>
      <w:marLeft w:val="0"/>
      <w:marRight w:val="0"/>
      <w:marTop w:val="0"/>
      <w:marBottom w:val="0"/>
      <w:divBdr>
        <w:top w:val="none" w:sz="0" w:space="0" w:color="auto"/>
        <w:left w:val="none" w:sz="0" w:space="0" w:color="auto"/>
        <w:bottom w:val="none" w:sz="0" w:space="0" w:color="auto"/>
        <w:right w:val="none" w:sz="0" w:space="0" w:color="auto"/>
      </w:divBdr>
      <w:divsChild>
        <w:div w:id="68312187">
          <w:marLeft w:val="403"/>
          <w:marRight w:val="0"/>
          <w:marTop w:val="96"/>
          <w:marBottom w:val="0"/>
          <w:divBdr>
            <w:top w:val="none" w:sz="0" w:space="0" w:color="auto"/>
            <w:left w:val="none" w:sz="0" w:space="0" w:color="auto"/>
            <w:bottom w:val="none" w:sz="0" w:space="0" w:color="auto"/>
            <w:right w:val="none" w:sz="0" w:space="0" w:color="auto"/>
          </w:divBdr>
        </w:div>
        <w:div w:id="2092117647">
          <w:marLeft w:val="878"/>
          <w:marRight w:val="0"/>
          <w:marTop w:val="82"/>
          <w:marBottom w:val="0"/>
          <w:divBdr>
            <w:top w:val="none" w:sz="0" w:space="0" w:color="auto"/>
            <w:left w:val="none" w:sz="0" w:space="0" w:color="auto"/>
            <w:bottom w:val="none" w:sz="0" w:space="0" w:color="auto"/>
            <w:right w:val="none" w:sz="0" w:space="0" w:color="auto"/>
          </w:divBdr>
        </w:div>
        <w:div w:id="1401900796">
          <w:marLeft w:val="878"/>
          <w:marRight w:val="0"/>
          <w:marTop w:val="82"/>
          <w:marBottom w:val="0"/>
          <w:divBdr>
            <w:top w:val="none" w:sz="0" w:space="0" w:color="auto"/>
            <w:left w:val="none" w:sz="0" w:space="0" w:color="auto"/>
            <w:bottom w:val="none" w:sz="0" w:space="0" w:color="auto"/>
            <w:right w:val="none" w:sz="0" w:space="0" w:color="auto"/>
          </w:divBdr>
        </w:div>
        <w:div w:id="1363477535">
          <w:marLeft w:val="878"/>
          <w:marRight w:val="0"/>
          <w:marTop w:val="82"/>
          <w:marBottom w:val="0"/>
          <w:divBdr>
            <w:top w:val="none" w:sz="0" w:space="0" w:color="auto"/>
            <w:left w:val="none" w:sz="0" w:space="0" w:color="auto"/>
            <w:bottom w:val="none" w:sz="0" w:space="0" w:color="auto"/>
            <w:right w:val="none" w:sz="0" w:space="0" w:color="auto"/>
          </w:divBdr>
        </w:div>
        <w:div w:id="1471940644">
          <w:marLeft w:val="403"/>
          <w:marRight w:val="0"/>
          <w:marTop w:val="96"/>
          <w:marBottom w:val="0"/>
          <w:divBdr>
            <w:top w:val="none" w:sz="0" w:space="0" w:color="auto"/>
            <w:left w:val="none" w:sz="0" w:space="0" w:color="auto"/>
            <w:bottom w:val="none" w:sz="0" w:space="0" w:color="auto"/>
            <w:right w:val="none" w:sz="0" w:space="0" w:color="auto"/>
          </w:divBdr>
        </w:div>
        <w:div w:id="1051030357">
          <w:marLeft w:val="403"/>
          <w:marRight w:val="0"/>
          <w:marTop w:val="96"/>
          <w:marBottom w:val="0"/>
          <w:divBdr>
            <w:top w:val="none" w:sz="0" w:space="0" w:color="auto"/>
            <w:left w:val="none" w:sz="0" w:space="0" w:color="auto"/>
            <w:bottom w:val="none" w:sz="0" w:space="0" w:color="auto"/>
            <w:right w:val="none" w:sz="0" w:space="0" w:color="auto"/>
          </w:divBdr>
        </w:div>
        <w:div w:id="2036075011">
          <w:marLeft w:val="403"/>
          <w:marRight w:val="0"/>
          <w:marTop w:val="96"/>
          <w:marBottom w:val="0"/>
          <w:divBdr>
            <w:top w:val="none" w:sz="0" w:space="0" w:color="auto"/>
            <w:left w:val="none" w:sz="0" w:space="0" w:color="auto"/>
            <w:bottom w:val="none" w:sz="0" w:space="0" w:color="auto"/>
            <w:right w:val="none" w:sz="0" w:space="0" w:color="auto"/>
          </w:divBdr>
        </w:div>
        <w:div w:id="688680963">
          <w:marLeft w:val="878"/>
          <w:marRight w:val="0"/>
          <w:marTop w:val="82"/>
          <w:marBottom w:val="0"/>
          <w:divBdr>
            <w:top w:val="none" w:sz="0" w:space="0" w:color="auto"/>
            <w:left w:val="none" w:sz="0" w:space="0" w:color="auto"/>
            <w:bottom w:val="none" w:sz="0" w:space="0" w:color="auto"/>
            <w:right w:val="none" w:sz="0" w:space="0" w:color="auto"/>
          </w:divBdr>
        </w:div>
        <w:div w:id="694622945">
          <w:marLeft w:val="878"/>
          <w:marRight w:val="0"/>
          <w:marTop w:val="82"/>
          <w:marBottom w:val="0"/>
          <w:divBdr>
            <w:top w:val="none" w:sz="0" w:space="0" w:color="auto"/>
            <w:left w:val="none" w:sz="0" w:space="0" w:color="auto"/>
            <w:bottom w:val="none" w:sz="0" w:space="0" w:color="auto"/>
            <w:right w:val="none" w:sz="0" w:space="0" w:color="auto"/>
          </w:divBdr>
        </w:div>
        <w:div w:id="1768650407">
          <w:marLeft w:val="403"/>
          <w:marRight w:val="0"/>
          <w:marTop w:val="96"/>
          <w:marBottom w:val="0"/>
          <w:divBdr>
            <w:top w:val="none" w:sz="0" w:space="0" w:color="auto"/>
            <w:left w:val="none" w:sz="0" w:space="0" w:color="auto"/>
            <w:bottom w:val="none" w:sz="0" w:space="0" w:color="auto"/>
            <w:right w:val="none" w:sz="0" w:space="0" w:color="auto"/>
          </w:divBdr>
        </w:div>
        <w:div w:id="1667201901">
          <w:marLeft w:val="403"/>
          <w:marRight w:val="0"/>
          <w:marTop w:val="96"/>
          <w:marBottom w:val="0"/>
          <w:divBdr>
            <w:top w:val="none" w:sz="0" w:space="0" w:color="auto"/>
            <w:left w:val="none" w:sz="0" w:space="0" w:color="auto"/>
            <w:bottom w:val="none" w:sz="0" w:space="0" w:color="auto"/>
            <w:right w:val="none" w:sz="0" w:space="0" w:color="auto"/>
          </w:divBdr>
        </w:div>
      </w:divsChild>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jpg"/><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jpg"/><Relationship Id="rId29" Type="http://schemas.openxmlformats.org/officeDocument/2006/relationships/oleObject" Target="embeddings/Microsoft_Visio_2003-2010_Drawing6.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3.vsd"/><Relationship Id="rId28"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7.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3EQ6UJ4K66FU-4-33357</_dlc_DocId>
    <_dlc_DocIdUrl xmlns="df4eea7b-52db-4162-980b-b352f1b580a3">
      <Url>https://projects.qualcomm.com/sites/meridian/_layouts/15/DocIdRedir.aspx?ID=3EQ6UJ4K66FU-4-33357</Url>
      <Description>3EQ6UJ4K66FU-4-33357</Description>
    </_dlc_DocIdUrl>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8EC8C-C020-4D65-B859-97DC6714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4"/>
    <ds:schemaRef ds:uri="http://purl.org/dc/terms/"/>
    <ds:schemaRef ds:uri="df4eea7b-52db-4162-980b-b352f1b580a3"/>
    <ds:schemaRef ds:uri="http://www.w3.org/XML/1998/namespace"/>
    <ds:schemaRef ds:uri="http://purl.org/dc/dcmitype/"/>
  </ds:schemaRefs>
</ds:datastoreItem>
</file>

<file path=customXml/itemProps5.xml><?xml version="1.0" encoding="utf-8"?>
<ds:datastoreItem xmlns:ds="http://schemas.openxmlformats.org/officeDocument/2006/customXml" ds:itemID="{4AD8506E-60B2-4F96-97DB-9DC906AB59C2}">
  <ds:schemaRefs>
    <ds:schemaRef ds:uri="http://schemas.openxmlformats.org/officeDocument/2006/bibliography"/>
  </ds:schemaRefs>
</ds:datastoreItem>
</file>

<file path=customXml/itemProps6.xml><?xml version="1.0" encoding="utf-8"?>
<ds:datastoreItem xmlns:ds="http://schemas.openxmlformats.org/officeDocument/2006/customXml" ds:itemID="{D2FF3D2A-7FE2-4B9D-8841-682D46272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4218</TotalTime>
  <Pages>13</Pages>
  <Words>6396</Words>
  <Characters>34235</Characters>
  <Application>Microsoft Office Word</Application>
  <DocSecurity>0</DocSecurity>
  <Lines>285</Lines>
  <Paragraphs>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JS</cp:lastModifiedBy>
  <cp:revision>118</cp:revision>
  <cp:lastPrinted>2010-08-13T21:54:00Z</cp:lastPrinted>
  <dcterms:created xsi:type="dcterms:W3CDTF">2017-12-19T08:06:00Z</dcterms:created>
  <dcterms:modified xsi:type="dcterms:W3CDTF">2018-11-02T18:53:00Z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bead2b34-5eb3-4dae-9b06-7754c0276154</vt:lpwstr>
  </property>
  <property fmtid="{D5CDD505-2E9C-101B-9397-08002B2CF9AE}" pid="4" name="_AdHocReviewCycleID">
    <vt:i4>-222175247</vt:i4>
  </property>
  <property fmtid="{D5CDD505-2E9C-101B-9397-08002B2CF9AE}" pid="5" name="_NewReviewCycle">
    <vt:lpwstr/>
  </property>
  <property fmtid="{D5CDD505-2E9C-101B-9397-08002B2CF9AE}" pid="6" name="_EmailSubject">
    <vt:lpwstr>Contribution drafts</vt:lpwstr>
  </property>
  <property fmtid="{D5CDD505-2E9C-101B-9397-08002B2CF9AE}" pid="7" name="_AuthorEmail">
    <vt:lpwstr>anantana@qti.qualcomm.com</vt:lpwstr>
  </property>
  <property fmtid="{D5CDD505-2E9C-101B-9397-08002B2CF9AE}" pid="8" name="_AuthorEmailDisplayName">
    <vt:lpwstr>Ananta Narayanan Thyagarajan</vt:lpwstr>
  </property>
  <property fmtid="{D5CDD505-2E9C-101B-9397-08002B2CF9AE}" pid="9" name="_ReviewingToolsShownOnce">
    <vt:lpwstr/>
  </property>
</Properties>
</file>